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rPr>
          <w:alias w:val="JUDUL"/>
          <w:tag w:val="JUDUL"/>
          <w:id w:val="2018733795"/>
          <w:lock w:val="sdtLocked"/>
          <w:placeholder>
            <w:docPart w:val="6E7EC250621E466687195024B6493CF3"/>
          </w:placeholder>
        </w:sdtPr>
        <w:sdtEndPr>
          <w:rPr>
            <w:rStyle w:val="DefaultParagraphFont"/>
            <w:rFonts w:eastAsiaTheme="minorHAnsi" w:cstheme="minorBidi"/>
            <w:b w:val="0"/>
            <w:szCs w:val="22"/>
          </w:rPr>
        </w:sdtEndPr>
        <w:sdtContent>
          <w:tr w:rsidR="002C1D98">
            <w:tc>
              <w:tcPr>
                <w:tcW w:w="9062" w:type="dxa"/>
                <w:tcMar>
                  <w:left w:w="0" w:type="dxa"/>
                  <w:right w:w="0" w:type="dxa"/>
                </w:tcMar>
              </w:tcPr>
              <w:p w:rsidR="00383F8C" w:rsidRPr="00383F8C" w:rsidRDefault="00F4663B" w:rsidP="00F4663B">
                <w:pPr>
                  <w:spacing w:before="480" w:after="0" w:line="240" w:lineRule="auto"/>
                  <w:jc w:val="center"/>
                  <w:rPr>
                    <w:rStyle w:val="Heading1Char"/>
                    <w:rFonts w:eastAsiaTheme="minorHAnsi" w:cstheme="minorBidi"/>
                    <w:b w:val="0"/>
                    <w:szCs w:val="22"/>
                  </w:rPr>
                </w:pPr>
                <w:r>
                  <w:rPr>
                    <w:rStyle w:val="Heading1Char"/>
                    <w:sz w:val="28"/>
                    <w:szCs w:val="28"/>
                  </w:rPr>
                  <w:t>ANALYSIS OF B</w:t>
                </w:r>
                <w:r w:rsidR="00383F8C" w:rsidRPr="00383F8C">
                  <w:rPr>
                    <w:rStyle w:val="Heading1Char"/>
                    <w:sz w:val="28"/>
                    <w:szCs w:val="28"/>
                  </w:rPr>
                  <w:t>-VALUE AND PEAK GRO</w:t>
                </w:r>
                <w:r>
                  <w:rPr>
                    <w:rStyle w:val="Heading1Char"/>
                    <w:sz w:val="28"/>
                    <w:szCs w:val="28"/>
                  </w:rPr>
                  <w:t xml:space="preserve">UND ACCELERATION (PGA) </w:t>
                </w:r>
                <w:r w:rsidR="00383F8C" w:rsidRPr="00383F8C">
                  <w:rPr>
                    <w:rStyle w:val="Heading1Char"/>
                    <w:sz w:val="28"/>
                    <w:szCs w:val="28"/>
                  </w:rPr>
                  <w:t>IN WEST SUMATRA PROVINCE USING MAXIMUM LIKELIHOOD METHOD AND EMPIRICAL FORMULA</w:t>
                </w:r>
              </w:p>
              <w:p w:rsidR="002C1D98" w:rsidRPr="00DF1C23" w:rsidRDefault="00F4663B" w:rsidP="00DF1C23">
                <w:pPr>
                  <w:spacing w:after="240" w:line="240" w:lineRule="auto"/>
                  <w:jc w:val="center"/>
                  <w:rPr>
                    <w:rFonts w:eastAsiaTheme="majorEastAsia" w:cstheme="majorBidi"/>
                    <w:b/>
                    <w:sz w:val="28"/>
                    <w:szCs w:val="28"/>
                  </w:rPr>
                </w:pPr>
                <w:r>
                  <w:rPr>
                    <w:rStyle w:val="Heading1Char"/>
                    <w:sz w:val="28"/>
                    <w:szCs w:val="28"/>
                  </w:rPr>
                  <w:t>(</w:t>
                </w:r>
                <w:r w:rsidR="00383F8C" w:rsidRPr="00383F8C">
                  <w:rPr>
                    <w:rStyle w:val="Heading1Char"/>
                    <w:sz w:val="28"/>
                    <w:szCs w:val="28"/>
                  </w:rPr>
                  <w:t>EARTHQUAKE DATA PERIOD</w:t>
                </w:r>
                <w:r>
                  <w:rPr>
                    <w:rStyle w:val="Heading1Char"/>
                    <w:sz w:val="28"/>
                    <w:szCs w:val="28"/>
                  </w:rPr>
                  <w:t xml:space="preserve"> 2007-2020</w:t>
                </w:r>
                <w:r w:rsidR="00383F8C" w:rsidRPr="00383F8C">
                  <w:rPr>
                    <w:rStyle w:val="Heading1Char"/>
                    <w:sz w:val="28"/>
                    <w:szCs w:val="28"/>
                  </w:rPr>
                  <w:t>)</w:t>
                </w:r>
              </w:p>
            </w:tc>
          </w:tr>
        </w:sdtContent>
      </w:sdt>
      <w:sdt>
        <w:sdtPr>
          <w:rPr>
            <w:rFonts w:eastAsiaTheme="majorEastAsia" w:cstheme="majorBidi"/>
            <w:b/>
            <w:szCs w:val="32"/>
          </w:rPr>
          <w:alias w:val="Nama Penulis"/>
          <w:tag w:val="Nama Penulis"/>
          <w:id w:val="-1090227560"/>
          <w:placeholder>
            <w:docPart w:val="C96BDE738CD047D092D0BEE64AFC6381"/>
          </w:placeholder>
        </w:sdtPr>
        <w:sdtEndPr>
          <w:rPr>
            <w:rStyle w:val="PlaceholderText"/>
            <w:color w:val="808080"/>
          </w:rPr>
        </w:sdtEndPr>
        <w:sdtContent>
          <w:tr w:rsidR="002C1D98">
            <w:tc>
              <w:tcPr>
                <w:tcW w:w="9062" w:type="dxa"/>
                <w:tcMar>
                  <w:left w:w="0" w:type="dxa"/>
                  <w:right w:w="0" w:type="dxa"/>
                </w:tcMar>
              </w:tcPr>
              <w:p w:rsidR="002C1D98" w:rsidRDefault="0032099D">
                <w:pPr>
                  <w:spacing w:after="120" w:line="240" w:lineRule="auto"/>
                  <w:jc w:val="center"/>
                  <w:rPr>
                    <w:rStyle w:val="Heading1Char"/>
                  </w:rPr>
                </w:pPr>
                <w:proofErr w:type="spellStart"/>
                <w:r>
                  <w:rPr>
                    <w:rStyle w:val="PlaceholderText"/>
                    <w:color w:val="000000" w:themeColor="text1"/>
                  </w:rPr>
                  <w:t>F</w:t>
                </w:r>
                <w:r w:rsidR="00B3070F">
                  <w:rPr>
                    <w:rStyle w:val="PlaceholderText"/>
                    <w:color w:val="000000" w:themeColor="text1"/>
                  </w:rPr>
                  <w:t>andu</w:t>
                </w:r>
                <w:proofErr w:type="spellEnd"/>
                <w:r w:rsidR="00B3070F">
                  <w:rPr>
                    <w:rStyle w:val="PlaceholderText"/>
                    <w:color w:val="000000" w:themeColor="text1"/>
                  </w:rPr>
                  <w:t xml:space="preserve"> Alfadilah</w:t>
                </w:r>
                <w:r>
                  <w:rPr>
                    <w:rStyle w:val="PlaceholderText"/>
                    <w:color w:val="000000" w:themeColor="text1"/>
                    <w:vertAlign w:val="superscript"/>
                  </w:rPr>
                  <w:t>1</w:t>
                </w:r>
                <w:r>
                  <w:rPr>
                    <w:rStyle w:val="PlaceholderText"/>
                    <w:color w:val="000000" w:themeColor="text1"/>
                  </w:rPr>
                  <w:t xml:space="preserve">, </w:t>
                </w:r>
                <w:r w:rsidR="00B3070F">
                  <w:rPr>
                    <w:rStyle w:val="PlaceholderText"/>
                    <w:color w:val="000000" w:themeColor="text1"/>
                  </w:rPr>
                  <w:t>Syafriani</w:t>
                </w:r>
                <w:r>
                  <w:rPr>
                    <w:rStyle w:val="PlaceholderText"/>
                    <w:color w:val="000000" w:themeColor="text1"/>
                    <w:vertAlign w:val="superscript"/>
                  </w:rPr>
                  <w:t>1*</w:t>
                </w:r>
                <w:r>
                  <w:rPr>
                    <w:rStyle w:val="PlaceholderText"/>
                    <w:color w:val="000000" w:themeColor="text1"/>
                  </w:rPr>
                  <w:t xml:space="preserve">, </w:t>
                </w:r>
                <w:proofErr w:type="spellStart"/>
                <w:r w:rsidR="00B3070F">
                  <w:rPr>
                    <w:rStyle w:val="PlaceholderText"/>
                    <w:color w:val="000000" w:themeColor="text1"/>
                  </w:rPr>
                  <w:t>Fajri</w:t>
                </w:r>
                <w:proofErr w:type="spellEnd"/>
                <w:r w:rsidR="00B3070F">
                  <w:rPr>
                    <w:rStyle w:val="PlaceholderText"/>
                    <w:color w:val="000000" w:themeColor="text1"/>
                  </w:rPr>
                  <w:t xml:space="preserve"> </w:t>
                </w:r>
                <w:proofErr w:type="spellStart"/>
                <w:r w:rsidR="00B3070F">
                  <w:rPr>
                    <w:rStyle w:val="PlaceholderText"/>
                    <w:color w:val="000000" w:themeColor="text1"/>
                  </w:rPr>
                  <w:t>Syukur</w:t>
                </w:r>
                <w:proofErr w:type="spellEnd"/>
                <w:r w:rsidR="00B3070F">
                  <w:rPr>
                    <w:rStyle w:val="PlaceholderText"/>
                    <w:color w:val="000000" w:themeColor="text1"/>
                  </w:rPr>
                  <w:t xml:space="preserve"> Rahmatullah</w:t>
                </w:r>
                <w:r>
                  <w:rPr>
                    <w:rStyle w:val="PlaceholderText"/>
                    <w:color w:val="000000" w:themeColor="text1"/>
                    <w:vertAlign w:val="superscript"/>
                  </w:rPr>
                  <w:t>2</w:t>
                </w:r>
              </w:p>
            </w:tc>
          </w:tr>
        </w:sdtContent>
      </w:sdt>
      <w:tr w:rsidR="002C1D98">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1022"/>
              <w:gridCol w:w="8040"/>
            </w:tblGrid>
            <w:tr w:rsidR="002C1D98">
              <w:tc>
                <w:tcPr>
                  <w:tcW w:w="9062" w:type="dxa"/>
                  <w:gridSpan w:val="2"/>
                  <w:tcMar>
                    <w:left w:w="0" w:type="dxa"/>
                    <w:right w:w="0" w:type="dxa"/>
                  </w:tcMar>
                </w:tcPr>
                <w:p w:rsidR="002C1D98" w:rsidRDefault="0032099D">
                  <w:pPr>
                    <w:spacing w:after="0" w:line="240" w:lineRule="auto"/>
                    <w:jc w:val="center"/>
                    <w:rPr>
                      <w:sz w:val="20"/>
                      <w:szCs w:val="20"/>
                    </w:rPr>
                  </w:pPr>
                  <w:r>
                    <w:rPr>
                      <w:sz w:val="20"/>
                      <w:szCs w:val="20"/>
                      <w:vertAlign w:val="superscript"/>
                    </w:rPr>
                    <w:t xml:space="preserve">1 </w:t>
                  </w:r>
                  <w:sdt>
                    <w:sdtPr>
                      <w:rPr>
                        <w:sz w:val="20"/>
                        <w:szCs w:val="20"/>
                      </w:rPr>
                      <w:alias w:val="Afiliasi"/>
                      <w:tag w:val="Afiliasi"/>
                      <w:id w:val="936337078"/>
                      <w:placeholder>
                        <w:docPart w:val="C1431CC6AD314266AD30DCBDF74D2BED"/>
                      </w:placeholder>
                      <w:text/>
                    </w:sdtPr>
                    <w:sdtEndPr>
                      <w:rPr>
                        <w:rStyle w:val="PlaceholderText"/>
                        <w:color w:val="808080"/>
                      </w:rPr>
                    </w:sdtEndPr>
                    <w:sdtContent>
                      <w:r>
                        <w:rPr>
                          <w:rStyle w:val="PlaceholderText"/>
                          <w:i/>
                          <w:iCs/>
                          <w:color w:val="000000" w:themeColor="text1"/>
                          <w:sz w:val="20"/>
                          <w:szCs w:val="20"/>
                        </w:rPr>
                        <w:t>Department of Physic</w:t>
                      </w:r>
                      <w:r w:rsidR="00B3070F">
                        <w:rPr>
                          <w:rStyle w:val="PlaceholderText"/>
                          <w:i/>
                          <w:iCs/>
                          <w:color w:val="000000" w:themeColor="text1"/>
                          <w:sz w:val="20"/>
                          <w:szCs w:val="20"/>
                        </w:rPr>
                        <w:t xml:space="preserve">s, </w:t>
                      </w:r>
                      <w:proofErr w:type="spellStart"/>
                      <w:r w:rsidR="00B3070F">
                        <w:rPr>
                          <w:rStyle w:val="PlaceholderText"/>
                          <w:i/>
                          <w:iCs/>
                          <w:color w:val="000000" w:themeColor="text1"/>
                          <w:sz w:val="20"/>
                          <w:szCs w:val="20"/>
                        </w:rPr>
                        <w:t>Universitas</w:t>
                      </w:r>
                      <w:proofErr w:type="spellEnd"/>
                      <w:r w:rsidR="00B3070F">
                        <w:rPr>
                          <w:rStyle w:val="PlaceholderText"/>
                          <w:i/>
                          <w:iCs/>
                          <w:color w:val="000000" w:themeColor="text1"/>
                          <w:sz w:val="20"/>
                          <w:szCs w:val="20"/>
                        </w:rPr>
                        <w:t xml:space="preserve"> </w:t>
                      </w:r>
                      <w:proofErr w:type="spellStart"/>
                      <w:r w:rsidR="00B3070F">
                        <w:rPr>
                          <w:rStyle w:val="PlaceholderText"/>
                          <w:i/>
                          <w:iCs/>
                          <w:color w:val="000000" w:themeColor="text1"/>
                          <w:sz w:val="20"/>
                          <w:szCs w:val="20"/>
                        </w:rPr>
                        <w:t>Negeri</w:t>
                      </w:r>
                      <w:proofErr w:type="spellEnd"/>
                      <w:r w:rsidR="00B3070F">
                        <w:rPr>
                          <w:rStyle w:val="PlaceholderText"/>
                          <w:i/>
                          <w:iCs/>
                          <w:color w:val="000000" w:themeColor="text1"/>
                          <w:sz w:val="20"/>
                          <w:szCs w:val="20"/>
                        </w:rPr>
                        <w:t xml:space="preserve"> Padang, </w:t>
                      </w:r>
                      <w:proofErr w:type="spellStart"/>
                      <w:r w:rsidR="00B3070F">
                        <w:rPr>
                          <w:rStyle w:val="PlaceholderText"/>
                          <w:i/>
                          <w:iCs/>
                          <w:color w:val="000000" w:themeColor="text1"/>
                          <w:sz w:val="20"/>
                          <w:szCs w:val="20"/>
                        </w:rPr>
                        <w:t>Jalan</w:t>
                      </w:r>
                      <w:proofErr w:type="spellEnd"/>
                      <w:r>
                        <w:rPr>
                          <w:rStyle w:val="PlaceholderText"/>
                          <w:i/>
                          <w:iCs/>
                          <w:color w:val="000000" w:themeColor="text1"/>
                          <w:sz w:val="20"/>
                          <w:szCs w:val="20"/>
                        </w:rPr>
                        <w:t xml:space="preserve"> Prof. Dr. </w:t>
                      </w:r>
                      <w:proofErr w:type="spellStart"/>
                      <w:r>
                        <w:rPr>
                          <w:rStyle w:val="PlaceholderText"/>
                          <w:i/>
                          <w:iCs/>
                          <w:color w:val="000000" w:themeColor="text1"/>
                          <w:sz w:val="20"/>
                          <w:szCs w:val="20"/>
                        </w:rPr>
                        <w:t>Hamka</w:t>
                      </w:r>
                      <w:proofErr w:type="spellEnd"/>
                      <w:r>
                        <w:rPr>
                          <w:rStyle w:val="PlaceholderText"/>
                          <w:i/>
                          <w:iCs/>
                          <w:color w:val="000000" w:themeColor="text1"/>
                          <w:sz w:val="20"/>
                          <w:szCs w:val="20"/>
                        </w:rPr>
                        <w:t xml:space="preserve"> Air </w:t>
                      </w:r>
                      <w:proofErr w:type="spellStart"/>
                      <w:r w:rsidR="00B3070F">
                        <w:rPr>
                          <w:rStyle w:val="PlaceholderText"/>
                          <w:i/>
                          <w:iCs/>
                          <w:color w:val="000000" w:themeColor="text1"/>
                          <w:sz w:val="20"/>
                          <w:szCs w:val="20"/>
                        </w:rPr>
                        <w:t>Tawar</w:t>
                      </w:r>
                      <w:proofErr w:type="spellEnd"/>
                      <w:r w:rsidR="00805BAF">
                        <w:rPr>
                          <w:rStyle w:val="PlaceholderText"/>
                          <w:i/>
                          <w:iCs/>
                          <w:color w:val="000000" w:themeColor="text1"/>
                          <w:sz w:val="20"/>
                          <w:szCs w:val="20"/>
                        </w:rPr>
                        <w:t>,</w:t>
                      </w:r>
                      <w:r w:rsidR="00B3070F">
                        <w:rPr>
                          <w:rStyle w:val="PlaceholderText"/>
                          <w:i/>
                          <w:iCs/>
                          <w:color w:val="000000" w:themeColor="text1"/>
                          <w:sz w:val="20"/>
                          <w:szCs w:val="20"/>
                        </w:rPr>
                        <w:t xml:space="preserve"> Padang, 25171</w:t>
                      </w:r>
                      <w:r>
                        <w:rPr>
                          <w:rStyle w:val="PlaceholderText"/>
                          <w:i/>
                          <w:iCs/>
                          <w:color w:val="000000" w:themeColor="text1"/>
                          <w:sz w:val="20"/>
                          <w:szCs w:val="20"/>
                        </w:rPr>
                        <w:t>, Indonesia</w:t>
                      </w:r>
                    </w:sdtContent>
                  </w:sdt>
                </w:p>
                <w:p w:rsidR="002C1D98" w:rsidRDefault="0032099D">
                  <w:pPr>
                    <w:spacing w:after="120" w:line="240" w:lineRule="auto"/>
                    <w:jc w:val="center"/>
                    <w:rPr>
                      <w:i/>
                      <w:iCs/>
                    </w:rPr>
                  </w:pPr>
                  <w:r>
                    <w:rPr>
                      <w:sz w:val="20"/>
                      <w:szCs w:val="20"/>
                      <w:vertAlign w:val="superscript"/>
                    </w:rPr>
                    <w:t>2</w:t>
                  </w:r>
                  <w:sdt>
                    <w:sdtPr>
                      <w:rPr>
                        <w:sz w:val="20"/>
                        <w:szCs w:val="20"/>
                      </w:rPr>
                      <w:alias w:val="Afiliasi"/>
                      <w:tag w:val="Afiliasi"/>
                      <w:id w:val="-238559888"/>
                      <w:placeholder>
                        <w:docPart w:val="3D21FCF5977F43B78E536C7084FBB79F"/>
                      </w:placeholder>
                      <w:text/>
                    </w:sdtPr>
                    <w:sdtEndPr>
                      <w:rPr>
                        <w:i/>
                        <w:iCs/>
                        <w:sz w:val="24"/>
                        <w:szCs w:val="22"/>
                      </w:rPr>
                    </w:sdtEndPr>
                    <w:sdtContent>
                      <w:r w:rsidR="00B3070F">
                        <w:rPr>
                          <w:i/>
                          <w:iCs/>
                          <w:sz w:val="20"/>
                          <w:szCs w:val="20"/>
                        </w:rPr>
                        <w:t xml:space="preserve">Badan </w:t>
                      </w:r>
                      <w:proofErr w:type="spellStart"/>
                      <w:r w:rsidR="00B3070F">
                        <w:rPr>
                          <w:i/>
                          <w:iCs/>
                          <w:sz w:val="20"/>
                          <w:szCs w:val="20"/>
                        </w:rPr>
                        <w:t>Meteorologi</w:t>
                      </w:r>
                      <w:proofErr w:type="spellEnd"/>
                      <w:r w:rsidR="00B3070F">
                        <w:rPr>
                          <w:i/>
                          <w:iCs/>
                          <w:sz w:val="20"/>
                          <w:szCs w:val="20"/>
                        </w:rPr>
                        <w:t xml:space="preserve"> </w:t>
                      </w:r>
                      <w:proofErr w:type="spellStart"/>
                      <w:r w:rsidR="00B3070F">
                        <w:rPr>
                          <w:i/>
                          <w:iCs/>
                          <w:sz w:val="20"/>
                          <w:szCs w:val="20"/>
                        </w:rPr>
                        <w:t>Klimatologi</w:t>
                      </w:r>
                      <w:proofErr w:type="spellEnd"/>
                      <w:r w:rsidR="00B3070F">
                        <w:rPr>
                          <w:i/>
                          <w:iCs/>
                          <w:sz w:val="20"/>
                          <w:szCs w:val="20"/>
                        </w:rPr>
                        <w:t xml:space="preserve"> </w:t>
                      </w:r>
                      <w:proofErr w:type="spellStart"/>
                      <w:r w:rsidR="00B3070F">
                        <w:rPr>
                          <w:i/>
                          <w:iCs/>
                          <w:sz w:val="20"/>
                          <w:szCs w:val="20"/>
                        </w:rPr>
                        <w:t>dan</w:t>
                      </w:r>
                      <w:proofErr w:type="spellEnd"/>
                      <w:r w:rsidR="00B3070F">
                        <w:rPr>
                          <w:i/>
                          <w:iCs/>
                          <w:sz w:val="20"/>
                          <w:szCs w:val="20"/>
                        </w:rPr>
                        <w:t xml:space="preserve"> </w:t>
                      </w:r>
                      <w:proofErr w:type="spellStart"/>
                      <w:r w:rsidR="00B3070F">
                        <w:rPr>
                          <w:i/>
                          <w:iCs/>
                          <w:sz w:val="20"/>
                          <w:szCs w:val="20"/>
                        </w:rPr>
                        <w:t>Geofisika</w:t>
                      </w:r>
                      <w:proofErr w:type="spellEnd"/>
                      <w:r w:rsidR="0059125A">
                        <w:rPr>
                          <w:i/>
                          <w:iCs/>
                          <w:sz w:val="20"/>
                          <w:szCs w:val="20"/>
                        </w:rPr>
                        <w:t xml:space="preserve">, </w:t>
                      </w:r>
                      <w:proofErr w:type="spellStart"/>
                      <w:r w:rsidR="0059125A">
                        <w:rPr>
                          <w:i/>
                          <w:iCs/>
                          <w:sz w:val="20"/>
                          <w:szCs w:val="20"/>
                        </w:rPr>
                        <w:t>Jalan</w:t>
                      </w:r>
                      <w:proofErr w:type="spellEnd"/>
                      <w:r w:rsidR="0059125A">
                        <w:rPr>
                          <w:i/>
                          <w:iCs/>
                          <w:sz w:val="20"/>
                          <w:szCs w:val="20"/>
                        </w:rPr>
                        <w:t xml:space="preserve"> </w:t>
                      </w:r>
                      <w:proofErr w:type="spellStart"/>
                      <w:r w:rsidR="0059125A">
                        <w:rPr>
                          <w:i/>
                          <w:iCs/>
                          <w:sz w:val="20"/>
                          <w:szCs w:val="20"/>
                        </w:rPr>
                        <w:t>Angkasa</w:t>
                      </w:r>
                      <w:proofErr w:type="spellEnd"/>
                      <w:r w:rsidR="0059125A">
                        <w:rPr>
                          <w:i/>
                          <w:iCs/>
                          <w:sz w:val="20"/>
                          <w:szCs w:val="20"/>
                        </w:rPr>
                        <w:t xml:space="preserve"> 1 No. 2 </w:t>
                      </w:r>
                      <w:proofErr w:type="spellStart"/>
                      <w:r w:rsidR="0059125A">
                        <w:rPr>
                          <w:i/>
                          <w:iCs/>
                          <w:sz w:val="20"/>
                          <w:szCs w:val="20"/>
                        </w:rPr>
                        <w:t>Kemayoran</w:t>
                      </w:r>
                      <w:proofErr w:type="spellEnd"/>
                      <w:r w:rsidR="0059125A">
                        <w:rPr>
                          <w:i/>
                          <w:iCs/>
                          <w:sz w:val="20"/>
                          <w:szCs w:val="20"/>
                        </w:rPr>
                        <w:t xml:space="preserve"> Jakarta </w:t>
                      </w:r>
                      <w:proofErr w:type="spellStart"/>
                      <w:r w:rsidR="0059125A">
                        <w:rPr>
                          <w:i/>
                          <w:iCs/>
                          <w:sz w:val="20"/>
                          <w:szCs w:val="20"/>
                        </w:rPr>
                        <w:t>Pusat</w:t>
                      </w:r>
                      <w:proofErr w:type="spellEnd"/>
                      <w:r w:rsidR="0059125A">
                        <w:rPr>
                          <w:i/>
                          <w:iCs/>
                          <w:sz w:val="20"/>
                          <w:szCs w:val="20"/>
                        </w:rPr>
                        <w:t>, 10610, Indonesia</w:t>
                      </w:r>
                    </w:sdtContent>
                  </w:sdt>
                </w:p>
                <w:p w:rsidR="002C1D98" w:rsidRDefault="00E76463">
                  <w:pPr>
                    <w:spacing w:after="240" w:line="240" w:lineRule="auto"/>
                    <w:jc w:val="center"/>
                  </w:pPr>
                  <w:sdt>
                    <w:sdtPr>
                      <w:alias w:val="Correspoding author"/>
                      <w:tag w:val="Correspoding author"/>
                      <w:id w:val="-1090005797"/>
                      <w:lock w:val="sdtContentLocked"/>
                      <w:placeholder>
                        <w:docPart w:val="442A9BF340FE4000B527D809C784FCEB"/>
                      </w:placeholder>
                      <w:text/>
                    </w:sdtPr>
                    <w:sdtContent>
                      <w:r w:rsidR="0032099D">
                        <w:rPr>
                          <w:i/>
                          <w:iCs/>
                          <w:sz w:val="20"/>
                          <w:szCs w:val="18"/>
                        </w:rPr>
                        <w:t>Corresponding author. Email:</w:t>
                      </w:r>
                    </w:sdtContent>
                  </w:sdt>
                  <w:sdt>
                    <w:sdtPr>
                      <w:rPr>
                        <w:sz w:val="20"/>
                        <w:szCs w:val="18"/>
                      </w:rPr>
                      <w:id w:val="1125128392"/>
                      <w:placeholder>
                        <w:docPart w:val="643C260138F44A9EB7C72D63C71C43E1"/>
                      </w:placeholder>
                      <w:text/>
                    </w:sdtPr>
                    <w:sdtEndPr>
                      <w:rPr>
                        <w:i/>
                        <w:iCs/>
                        <w:sz w:val="24"/>
                        <w:szCs w:val="22"/>
                      </w:rPr>
                    </w:sdtEndPr>
                    <w:sdtContent>
                      <w:r w:rsidR="00805BAF">
                        <w:rPr>
                          <w:i/>
                          <w:iCs/>
                          <w:sz w:val="20"/>
                          <w:szCs w:val="18"/>
                        </w:rPr>
                        <w:t>syafri@fmipa.unp.ac.id</w:t>
                      </w:r>
                    </w:sdtContent>
                  </w:sdt>
                </w:p>
              </w:tc>
            </w:tr>
            <w:tr w:rsidR="002C1D98">
              <w:tc>
                <w:tcPr>
                  <w:tcW w:w="9062" w:type="dxa"/>
                  <w:gridSpan w:val="2"/>
                  <w:tcMar>
                    <w:left w:w="0" w:type="dxa"/>
                    <w:right w:w="0" w:type="dxa"/>
                  </w:tcMar>
                </w:tcPr>
                <w:p w:rsidR="002C1D98" w:rsidRDefault="00E76463">
                  <w:pPr>
                    <w:spacing w:before="240" w:after="120" w:line="240" w:lineRule="auto"/>
                    <w:jc w:val="center"/>
                    <w:rPr>
                      <w:b/>
                    </w:rPr>
                  </w:pPr>
                  <w:sdt>
                    <w:sdtPr>
                      <w:rPr>
                        <w:b/>
                        <w:sz w:val="20"/>
                      </w:rPr>
                      <w:id w:val="5641261"/>
                      <w:lock w:val="sdtContentLocked"/>
                      <w:placeholder>
                        <w:docPart w:val="853391D9A0104A57A8394A93C92EB148"/>
                      </w:placeholder>
                      <w:date>
                        <w:dateFormat w:val="M/d/yyyy"/>
                        <w:lid w:val="en-US"/>
                        <w:storeMappedDataAs w:val="dateTime"/>
                        <w:calendar w:val="gregorian"/>
                      </w:date>
                    </w:sdtPr>
                    <w:sdtContent>
                      <w:r w:rsidR="0032099D">
                        <w:rPr>
                          <w:b/>
                          <w:sz w:val="20"/>
                        </w:rPr>
                        <w:t>ABSTRACT</w:t>
                      </w:r>
                    </w:sdtContent>
                  </w:sdt>
                </w:p>
              </w:tc>
            </w:tr>
            <w:sdt>
              <w:sdtPr>
                <w:rPr>
                  <w:rStyle w:val="Style2"/>
                  <w:i/>
                </w:rPr>
                <w:alias w:val="Abstract"/>
                <w:tag w:val="isikan Abstract anda"/>
                <w:id w:val="3541255"/>
                <w:lock w:val="sdtLocked"/>
                <w:placeholder>
                  <w:docPart w:val="0BC95DF66A4D4C1187B9638EF91962FC"/>
                </w:placeholder>
              </w:sdtPr>
              <w:sdtEndPr>
                <w:rPr>
                  <w:rStyle w:val="DefaultParagraphFont"/>
                  <w:rFonts w:cs="Times New Roman"/>
                  <w:iCs/>
                  <w:sz w:val="24"/>
                  <w:szCs w:val="20"/>
                </w:rPr>
              </w:sdtEndPr>
              <w:sdtContent>
                <w:tr w:rsidR="002C1D98">
                  <w:tc>
                    <w:tcPr>
                      <w:tcW w:w="9062" w:type="dxa"/>
                      <w:gridSpan w:val="2"/>
                      <w:tcMar>
                        <w:left w:w="0" w:type="dxa"/>
                        <w:right w:w="0" w:type="dxa"/>
                      </w:tcMar>
                    </w:tcPr>
                    <w:p w:rsidR="002C1D98" w:rsidRDefault="00383F8C" w:rsidP="00383F8C">
                      <w:pPr>
                        <w:spacing w:after="0" w:line="240" w:lineRule="auto"/>
                        <w:ind w:firstLine="567"/>
                        <w:jc w:val="both"/>
                        <w:rPr>
                          <w:b/>
                          <w:sz w:val="20"/>
                        </w:rPr>
                      </w:pPr>
                      <w:r w:rsidRPr="00383F8C">
                        <w:rPr>
                          <w:i/>
                          <w:sz w:val="20"/>
                        </w:rPr>
                        <w:t>West Sumatra is a province located on the west coast of the central part of Sumatra island which has four active fault segments. This segment is part of the Sumatran fault zone. This geological condition causes frequent earthquakes in the province of West Sumatra. Theref</w:t>
                      </w:r>
                      <w:r w:rsidR="00256960">
                        <w:rPr>
                          <w:i/>
                          <w:sz w:val="20"/>
                        </w:rPr>
                        <w:t xml:space="preserve">ore, it is necessary to research </w:t>
                      </w:r>
                      <w:r w:rsidRPr="00383F8C">
                        <w:rPr>
                          <w:i/>
                          <w:sz w:val="20"/>
                        </w:rPr>
                        <w:t xml:space="preserve">b-value analysis and peak ground acceleration (PGA) in the province of West Sumatra by using the maximum likelihood method and empirical formula for earthquake disaster mitigation efforts. This study aims to determine the b-value as the level of rock fragility and peak ground acceleration (PGA) as the level of earthquake activity and determine the distribution map. The data used is earthquake data for the period 2007-2020 with a magnitude </w:t>
                      </w:r>
                      <w:r w:rsidR="00DC5A3B">
                        <w:rPr>
                          <w:rStyle w:val="Style2"/>
                          <w:rFonts w:cs="Times New Roman"/>
                          <w:i/>
                          <w:iCs/>
                          <w:szCs w:val="20"/>
                        </w:rPr>
                        <w:t xml:space="preserve">≥ </w:t>
                      </w:r>
                      <w:r w:rsidRPr="00383F8C">
                        <w:rPr>
                          <w:i/>
                          <w:sz w:val="20"/>
                        </w:rPr>
                        <w:t xml:space="preserve">5 SR and a depth of </w:t>
                      </w:r>
                      <w:r w:rsidR="00DC5A3B">
                        <w:rPr>
                          <w:rStyle w:val="Style2"/>
                          <w:rFonts w:cs="Times New Roman"/>
                          <w:i/>
                          <w:iCs/>
                          <w:szCs w:val="20"/>
                        </w:rPr>
                        <w:t xml:space="preserve">≤ </w:t>
                      </w:r>
                      <w:r w:rsidRPr="00383F8C">
                        <w:rPr>
                          <w:i/>
                          <w:sz w:val="20"/>
                        </w:rPr>
                        <w:t>100 km. The results of data processing produce a map of the distribution of b-value and peak ground acceleration in the province of West Sumatra. B-value in each region ranged from 0.8421-1.4477. Based on the b-value distribution map, the area that has the smallest b-value is in region 6, while the largest value is in region 2. A low B-value correlates with high rock stress conditions. This value illustrates that area 6 has a high chance of a major earthquake occurring. Furthermore, the calcul</w:t>
                      </w:r>
                      <w:r w:rsidR="00985138">
                        <w:rPr>
                          <w:i/>
                          <w:sz w:val="20"/>
                        </w:rPr>
                        <w:t xml:space="preserve">ation of the peak </w:t>
                      </w:r>
                      <w:r w:rsidRPr="00383F8C">
                        <w:rPr>
                          <w:i/>
                          <w:sz w:val="20"/>
                        </w:rPr>
                        <w:t>ground acceleration value refers to the general form of Lin and Wu's empirical equation to obtain a new empirical formula model. The value of the coefficient a = 1.20543, b = 0.839093, a</w:t>
                      </w:r>
                      <w:r w:rsidR="005835EB">
                        <w:rPr>
                          <w:i/>
                          <w:sz w:val="20"/>
                        </w:rPr>
                        <w:t xml:space="preserve">nd c = 6.88858. The peak ground </w:t>
                      </w:r>
                      <w:r w:rsidR="003E23C5">
                        <w:rPr>
                          <w:i/>
                          <w:sz w:val="20"/>
                        </w:rPr>
                        <w:t xml:space="preserve">acceleration value of </w:t>
                      </w:r>
                      <w:r w:rsidRPr="00383F8C">
                        <w:rPr>
                          <w:i/>
                          <w:sz w:val="20"/>
                        </w:rPr>
                        <w:t>West Sumatra province ranges from 1.23-49.43 gal. Based on the map of t</w:t>
                      </w:r>
                      <w:r w:rsidR="003E23C5">
                        <w:rPr>
                          <w:i/>
                          <w:sz w:val="20"/>
                        </w:rPr>
                        <w:t xml:space="preserve">he distribution of peak ground </w:t>
                      </w:r>
                      <w:r w:rsidRPr="00383F8C">
                        <w:rPr>
                          <w:i/>
                          <w:sz w:val="20"/>
                        </w:rPr>
                        <w:t xml:space="preserve">acceleration, </w:t>
                      </w:r>
                      <w:r w:rsidR="001F79D2">
                        <w:rPr>
                          <w:i/>
                          <w:sz w:val="20"/>
                        </w:rPr>
                        <w:t xml:space="preserve">the </w:t>
                      </w:r>
                      <w:proofErr w:type="spellStart"/>
                      <w:r w:rsidRPr="00383F8C">
                        <w:rPr>
                          <w:i/>
                          <w:sz w:val="20"/>
                        </w:rPr>
                        <w:t>Mentawai</w:t>
                      </w:r>
                      <w:proofErr w:type="spellEnd"/>
                      <w:r w:rsidR="003E23C5">
                        <w:rPr>
                          <w:i/>
                          <w:sz w:val="20"/>
                        </w:rPr>
                        <w:t xml:space="preserve"> Islands Regency has the highest </w:t>
                      </w:r>
                      <w:r w:rsidR="003E23C5" w:rsidRPr="003E23C5">
                        <w:rPr>
                          <w:rFonts w:cs="Times New Roman"/>
                          <w:i/>
                          <w:sz w:val="20"/>
                        </w:rPr>
                        <w:t>α</w:t>
                      </w:r>
                      <w:r w:rsidR="003E23C5">
                        <w:rPr>
                          <w:i/>
                          <w:sz w:val="20"/>
                        </w:rPr>
                        <w:t xml:space="preserve"> </w:t>
                      </w:r>
                      <w:r w:rsidRPr="00383F8C">
                        <w:rPr>
                          <w:i/>
                          <w:sz w:val="20"/>
                        </w:rPr>
                        <w:t xml:space="preserve">value, which is 9-29 gal, while the lowest </w:t>
                      </w:r>
                      <w:r w:rsidR="003E23C5">
                        <w:rPr>
                          <w:rFonts w:cs="Times New Roman"/>
                          <w:i/>
                          <w:sz w:val="20"/>
                        </w:rPr>
                        <w:t>α</w:t>
                      </w:r>
                      <w:r w:rsidR="003E23C5">
                        <w:rPr>
                          <w:i/>
                          <w:sz w:val="20"/>
                        </w:rPr>
                        <w:t xml:space="preserve"> </w:t>
                      </w:r>
                      <w:r w:rsidRPr="00383F8C">
                        <w:rPr>
                          <w:i/>
                          <w:sz w:val="20"/>
                        </w:rPr>
                        <w:t xml:space="preserve">value is in </w:t>
                      </w:r>
                      <w:proofErr w:type="spellStart"/>
                      <w:r w:rsidRPr="00383F8C">
                        <w:rPr>
                          <w:i/>
                          <w:sz w:val="20"/>
                        </w:rPr>
                        <w:t>Dharmasraya</w:t>
                      </w:r>
                      <w:proofErr w:type="spellEnd"/>
                      <w:r w:rsidRPr="00383F8C">
                        <w:rPr>
                          <w:i/>
                          <w:sz w:val="20"/>
                        </w:rPr>
                        <w:t xml:space="preserve"> Regency, which is 1-3 gal.</w:t>
                      </w:r>
                    </w:p>
                  </w:tc>
                </w:tr>
              </w:sdtContent>
            </w:sdt>
            <w:tr w:rsidR="002C1D98">
              <w:tc>
                <w:tcPr>
                  <w:tcW w:w="9062" w:type="dxa"/>
                  <w:gridSpan w:val="2"/>
                  <w:tcBorders>
                    <w:bottom w:val="nil"/>
                  </w:tcBorders>
                  <w:tcMar>
                    <w:left w:w="0" w:type="dxa"/>
                    <w:right w:w="0" w:type="dxa"/>
                  </w:tcMar>
                </w:tcPr>
                <w:p w:rsidR="002C1D98" w:rsidRDefault="002C1D98">
                  <w:pPr>
                    <w:spacing w:after="0" w:line="240" w:lineRule="auto"/>
                    <w:rPr>
                      <w:b/>
                      <w:sz w:val="20"/>
                    </w:rPr>
                  </w:pPr>
                </w:p>
              </w:tc>
            </w:tr>
            <w:tr w:rsidR="002C1D98">
              <w:tc>
                <w:tcPr>
                  <w:tcW w:w="9062" w:type="dxa"/>
                  <w:gridSpan w:val="2"/>
                  <w:tcBorders>
                    <w:bottom w:val="single" w:sz="4" w:space="0" w:color="auto"/>
                  </w:tcBorders>
                  <w:tcMar>
                    <w:left w:w="0" w:type="dxa"/>
                    <w:right w:w="0" w:type="dxa"/>
                  </w:tcMar>
                </w:tcPr>
                <w:p w:rsidR="002C1D98" w:rsidRDefault="0032099D">
                  <w:pPr>
                    <w:spacing w:after="0" w:line="240" w:lineRule="auto"/>
                    <w:rPr>
                      <w:b/>
                      <w:sz w:val="20"/>
                    </w:rPr>
                  </w:pPr>
                  <w:proofErr w:type="gramStart"/>
                  <w:r>
                    <w:rPr>
                      <w:b/>
                      <w:sz w:val="20"/>
                    </w:rPr>
                    <w:t>Keywords :</w:t>
                  </w:r>
                  <w:proofErr w:type="gramEnd"/>
                  <w:r>
                    <w:rPr>
                      <w:b/>
                      <w:sz w:val="20"/>
                    </w:rPr>
                    <w:t xml:space="preserve"> </w:t>
                  </w:r>
                  <w:sdt>
                    <w:sdtPr>
                      <w:rPr>
                        <w:sz w:val="20"/>
                      </w:rPr>
                      <w:alias w:val="Keyword ejournal"/>
                      <w:tag w:val="Keyword ejournal"/>
                      <w:id w:val="1832093935"/>
                      <w:lock w:val="sdtLocked"/>
                      <w:placeholder>
                        <w:docPart w:val="E4E44BAE6E0B415BB2B9BCCADF01AB5A"/>
                      </w:placeholder>
                      <w:text/>
                    </w:sdtPr>
                    <w:sdtContent>
                      <w:r w:rsidR="008A3B0E" w:rsidRPr="008A3B0E">
                        <w:rPr>
                          <w:sz w:val="20"/>
                        </w:rPr>
                        <w:t>Earthquake; Seismicity</w:t>
                      </w:r>
                      <w:r w:rsidR="008A3B0E">
                        <w:rPr>
                          <w:sz w:val="20"/>
                        </w:rPr>
                        <w:t>;</w:t>
                      </w:r>
                      <w:r w:rsidR="008A3B0E" w:rsidRPr="008A3B0E">
                        <w:rPr>
                          <w:sz w:val="20"/>
                        </w:rPr>
                        <w:t xml:space="preserve"> B-value; PGA.</w:t>
                      </w:r>
                    </w:sdtContent>
                  </w:sdt>
                </w:p>
              </w:tc>
            </w:tr>
            <w:tr w:rsidR="002C1D98">
              <w:tc>
                <w:tcPr>
                  <w:tcW w:w="993" w:type="dxa"/>
                  <w:tcBorders>
                    <w:top w:val="single" w:sz="4" w:space="0" w:color="auto"/>
                    <w:bottom w:val="nil"/>
                  </w:tcBorders>
                  <w:tcMar>
                    <w:left w:w="0" w:type="dxa"/>
                    <w:right w:w="0" w:type="dxa"/>
                  </w:tcMar>
                </w:tcPr>
                <w:p w:rsidR="002C1D98" w:rsidRDefault="002C1D98">
                  <w:pPr>
                    <w:spacing w:after="0" w:line="240" w:lineRule="auto"/>
                    <w:rPr>
                      <w:sz w:val="4"/>
                    </w:rPr>
                  </w:pPr>
                </w:p>
                <w:sdt>
                  <w:sdtPr>
                    <w:rPr>
                      <w:noProof/>
                    </w:rPr>
                    <w:id w:val="5641263"/>
                    <w:lock w:val="sdtContentLocked"/>
                    <w:picture/>
                  </w:sdtPr>
                  <w:sdtContent>
                    <w:p w:rsidR="002C1D98" w:rsidRDefault="00786D1C">
                      <w:pPr>
                        <w:spacing w:after="0" w:line="240" w:lineRule="auto"/>
                        <w:rPr>
                          <w:b/>
                          <w:sz w:val="20"/>
                        </w:rPr>
                      </w:pPr>
                      <w:r>
                        <w:rPr>
                          <w:noProof/>
                        </w:rPr>
                        <w:drawing>
                          <wp:inline distT="0" distB="0" distL="0" distR="0">
                            <wp:extent cx="648927"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6379" cy="231225"/>
                                    </a:xfrm>
                                    <a:prstGeom prst="rect">
                                      <a:avLst/>
                                    </a:prstGeom>
                                  </pic:spPr>
                                </pic:pic>
                              </a:graphicData>
                            </a:graphic>
                          </wp:inline>
                        </w:drawing>
                      </w:r>
                    </w:p>
                  </w:sdtContent>
                </w:sdt>
              </w:tc>
              <w:tc>
                <w:tcPr>
                  <w:tcW w:w="8069" w:type="dxa"/>
                  <w:tcBorders>
                    <w:top w:val="single" w:sz="4" w:space="0" w:color="auto"/>
                    <w:bottom w:val="nil"/>
                  </w:tcBorders>
                </w:tcPr>
                <w:p w:rsidR="002C1D98" w:rsidRDefault="002C1D98">
                  <w:pPr>
                    <w:spacing w:after="0" w:line="276" w:lineRule="auto"/>
                    <w:jc w:val="both"/>
                    <w:rPr>
                      <w:b/>
                      <w:sz w:val="4"/>
                      <w:szCs w:val="12"/>
                    </w:rPr>
                  </w:pPr>
                </w:p>
                <w:sdt>
                  <w:sdtPr>
                    <w:rPr>
                      <w:b/>
                      <w:sz w:val="12"/>
                      <w:szCs w:val="12"/>
                    </w:rPr>
                    <w:id w:val="5641262"/>
                    <w:lock w:val="sdtContentLocked"/>
                    <w:placeholder>
                      <w:docPart w:val="853391D9A0104A57A8394A93C92EB148"/>
                    </w:placeholder>
                    <w:date>
                      <w:dateFormat w:val="M/d/yyyy"/>
                      <w:lid w:val="en-US"/>
                      <w:storeMappedDataAs w:val="dateTime"/>
                      <w:calendar w:val="gregorian"/>
                    </w:date>
                  </w:sdtPr>
                  <w:sdtContent>
                    <w:p w:rsidR="002C1D98" w:rsidRDefault="0032099D">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w:t>
                      </w:r>
                      <w:r w:rsidR="002F2602">
                        <w:rPr>
                          <w:b/>
                          <w:sz w:val="12"/>
                          <w:szCs w:val="12"/>
                        </w:rPr>
                        <w:t>2</w:t>
                      </w:r>
                      <w:r w:rsidR="00786D1C">
                        <w:rPr>
                          <w:b/>
                          <w:sz w:val="12"/>
                          <w:szCs w:val="12"/>
                        </w:rPr>
                        <w:t>2</w:t>
                      </w:r>
                      <w:r>
                        <w:rPr>
                          <w:b/>
                          <w:sz w:val="12"/>
                          <w:szCs w:val="12"/>
                        </w:rPr>
                        <w:t xml:space="preserve"> by author and Universitas Negeri Padang.</w:t>
                      </w:r>
                    </w:p>
                  </w:sdtContent>
                </w:sdt>
              </w:tc>
            </w:tr>
            <w:tr w:rsidR="002C1D98">
              <w:tc>
                <w:tcPr>
                  <w:tcW w:w="9062" w:type="dxa"/>
                  <w:gridSpan w:val="2"/>
                  <w:tcBorders>
                    <w:bottom w:val="single" w:sz="4" w:space="0" w:color="auto"/>
                  </w:tcBorders>
                  <w:tcMar>
                    <w:left w:w="0" w:type="dxa"/>
                    <w:right w:w="0" w:type="dxa"/>
                  </w:tcMar>
                </w:tcPr>
                <w:p w:rsidR="002C1D98" w:rsidRDefault="002C1D98">
                  <w:pPr>
                    <w:spacing w:after="0" w:line="240" w:lineRule="auto"/>
                    <w:rPr>
                      <w:b/>
                      <w:sz w:val="8"/>
                    </w:rPr>
                  </w:pPr>
                </w:p>
              </w:tc>
            </w:tr>
            <w:tr w:rsidR="002C1D98">
              <w:tc>
                <w:tcPr>
                  <w:tcW w:w="9062" w:type="dxa"/>
                  <w:gridSpan w:val="2"/>
                  <w:tcBorders>
                    <w:top w:val="single" w:sz="4" w:space="0" w:color="auto"/>
                    <w:bottom w:val="nil"/>
                  </w:tcBorders>
                  <w:tcMar>
                    <w:left w:w="0" w:type="dxa"/>
                    <w:right w:w="0" w:type="dxa"/>
                  </w:tcMar>
                </w:tcPr>
                <w:p w:rsidR="002C1D98" w:rsidRDefault="002C1D98">
                  <w:pPr>
                    <w:spacing w:after="0" w:line="240" w:lineRule="auto"/>
                    <w:rPr>
                      <w:b/>
                      <w:sz w:val="10"/>
                    </w:rPr>
                  </w:pPr>
                </w:p>
              </w:tc>
            </w:tr>
          </w:tbl>
          <w:p w:rsidR="002C1D98" w:rsidRDefault="002C1D98">
            <w:pPr>
              <w:spacing w:after="120" w:line="240" w:lineRule="auto"/>
              <w:jc w:val="center"/>
              <w:rPr>
                <w:rFonts w:eastAsiaTheme="majorEastAsia" w:cstheme="majorBidi"/>
                <w:b/>
                <w:szCs w:val="32"/>
              </w:rPr>
            </w:pPr>
          </w:p>
        </w:tc>
      </w:tr>
    </w:tbl>
    <w:p w:rsidR="002C1D98" w:rsidRDefault="002C1D98">
      <w:pPr>
        <w:spacing w:after="0" w:line="240" w:lineRule="auto"/>
        <w:sectPr w:rsidR="002C1D98">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2C1D98" w:rsidRDefault="0032099D">
          <w:pPr>
            <w:pStyle w:val="Heading1"/>
            <w:numPr>
              <w:ilvl w:val="0"/>
              <w:numId w:val="5"/>
            </w:numPr>
            <w:spacing w:after="240" w:line="276" w:lineRule="auto"/>
            <w:ind w:left="0" w:firstLine="0"/>
            <w:jc w:val="left"/>
            <w:rPr>
              <w:bCs/>
              <w:sz w:val="21"/>
            </w:rPr>
          </w:pPr>
          <w:r>
            <w:rPr>
              <w:bCs/>
              <w:sz w:val="21"/>
            </w:rPr>
            <w:t>INTRODUCTION</w:t>
          </w:r>
        </w:p>
      </w:sdtContent>
    </w:sdt>
    <w:p w:rsidR="00C6239D" w:rsidRDefault="00C6239D">
      <w:pPr>
        <w:pStyle w:val="IJASEITParagraph"/>
        <w:spacing w:after="0" w:line="260" w:lineRule="auto"/>
        <w:ind w:firstLine="426"/>
      </w:pPr>
      <w:r w:rsidRPr="00C6239D">
        <w:t>Indonesia is an archipelagic country that is traversed by the path of three active tectonic plate encounters in the world, namely the Indo</w:t>
      </w:r>
      <w:r w:rsidR="00CC1025">
        <w:t>-Australian P</w:t>
      </w:r>
      <w:r w:rsidR="001F79D2">
        <w:t>late, the Pacific P</w:t>
      </w:r>
      <w:r w:rsidRPr="00C6239D">
        <w:t>late</w:t>
      </w:r>
      <w:r w:rsidR="001F79D2">
        <w:t>,</w:t>
      </w:r>
      <w:r w:rsidR="00CC1025">
        <w:t xml:space="preserve"> and the Eurasian P</w:t>
      </w:r>
      <w:r w:rsidRPr="00C6239D">
        <w:t>late. The movement of these three tectonic plates results in the release of energy that radiates in all directions to the earth's surface, causing earthquakes. This situation makes Indonesia often hit by earthquakes.</w:t>
      </w:r>
    </w:p>
    <w:p w:rsidR="00C6239D" w:rsidRDefault="00C6239D">
      <w:pPr>
        <w:pStyle w:val="IJASEITParagraph"/>
        <w:spacing w:after="0" w:line="260" w:lineRule="auto"/>
        <w:ind w:firstLine="426"/>
      </w:pPr>
      <w:r w:rsidRPr="00C6239D">
        <w:t>Sumatra Island is one of the islands located in the western part of Indonesia which is the epicenter of the earthquake. The island of Sumatra has three tectonic systems that can affec</w:t>
      </w:r>
      <w:r w:rsidR="00053C2C">
        <w:t xml:space="preserve">t the level of seismic activity. </w:t>
      </w:r>
      <w:r w:rsidR="001E2C30">
        <w:t xml:space="preserve">First, is </w:t>
      </w:r>
      <w:r w:rsidR="00053C2C" w:rsidRPr="00053C2C">
        <w:t xml:space="preserve">the </w:t>
      </w:r>
      <w:proofErr w:type="spellStart"/>
      <w:r w:rsidR="00053C2C" w:rsidRPr="00053C2C">
        <w:t>subduction</w:t>
      </w:r>
      <w:proofErr w:type="spellEnd"/>
      <w:r w:rsidR="00053C2C" w:rsidRPr="00053C2C">
        <w:t xml:space="preserve"> zone which is the bounda</w:t>
      </w:r>
      <w:r w:rsidR="00053C2C">
        <w:t>ry between the Indo-Australian P</w:t>
      </w:r>
      <w:r w:rsidR="00053C2C" w:rsidRPr="00053C2C">
        <w:t>la</w:t>
      </w:r>
      <w:r w:rsidR="00053C2C">
        <w:t xml:space="preserve">te and the </w:t>
      </w:r>
      <w:proofErr w:type="spellStart"/>
      <w:r w:rsidR="00053C2C">
        <w:t>subducting</w:t>
      </w:r>
      <w:proofErr w:type="spellEnd"/>
      <w:r w:rsidR="00053C2C">
        <w:t xml:space="preserve"> Eurasian P</w:t>
      </w:r>
      <w:r w:rsidR="00053C2C" w:rsidRPr="00053C2C">
        <w:t>late with the rock mass above it</w:t>
      </w:r>
      <w:r w:rsidR="00053C2C">
        <w:t xml:space="preserve"> [1]</w:t>
      </w:r>
      <w:proofErr w:type="gramStart"/>
      <w:r w:rsidR="00053C2C">
        <w:t>.</w:t>
      </w:r>
      <w:proofErr w:type="gramEnd"/>
      <w:r w:rsidR="00053C2C">
        <w:t xml:space="preserve"> </w:t>
      </w:r>
      <w:r w:rsidR="001F79D2">
        <w:t>The Indo-Australian P</w:t>
      </w:r>
      <w:r w:rsidR="00CC1025">
        <w:t>late and the Eurasian P</w:t>
      </w:r>
      <w:r w:rsidRPr="00C6239D">
        <w:t>late are moving at a speed of 60-70 mm per year [2]. Second, the Sumatran fault, which was f</w:t>
      </w:r>
      <w:r w:rsidR="00CC1025">
        <w:t>ormed when the Indo-Australian P</w:t>
      </w:r>
      <w:r w:rsidRPr="00C6239D">
        <w:t>la</w:t>
      </w:r>
      <w:r w:rsidR="00CC1025">
        <w:t>te slipped under the Eurasian P</w:t>
      </w:r>
      <w:r w:rsidRPr="00C6239D">
        <w:t xml:space="preserve">late, tilted about 40-45 degrees. The sloping </w:t>
      </w:r>
      <w:proofErr w:type="spellStart"/>
      <w:r w:rsidRPr="00C6239D">
        <w:t>subduction</w:t>
      </w:r>
      <w:proofErr w:type="spellEnd"/>
      <w:r w:rsidRPr="00C6239D">
        <w:t xml:space="preserve"> resulted in the formation of the Sumatran </w:t>
      </w:r>
      <w:r w:rsidRPr="00C6239D">
        <w:lastRenderedPageBreak/>
        <w:t xml:space="preserve">fault zone [3]. </w:t>
      </w:r>
      <w:proofErr w:type="gramStart"/>
      <w:r w:rsidRPr="00C6239D">
        <w:t xml:space="preserve">Third, the </w:t>
      </w:r>
      <w:proofErr w:type="spellStart"/>
      <w:r w:rsidRPr="00C6239D">
        <w:t>Mentawai</w:t>
      </w:r>
      <w:proofErr w:type="spellEnd"/>
      <w:r w:rsidRPr="00C6239D">
        <w:t xml:space="preserve"> fault which stretches for 600 km and is located to the east of the </w:t>
      </w:r>
      <w:proofErr w:type="spellStart"/>
      <w:r w:rsidRPr="00C6239D">
        <w:t>Mentawai</w:t>
      </w:r>
      <w:proofErr w:type="spellEnd"/>
      <w:r w:rsidRPr="00C6239D">
        <w:t xml:space="preserve"> Islands between the </w:t>
      </w:r>
      <w:proofErr w:type="spellStart"/>
      <w:r w:rsidRPr="00C6239D">
        <w:t>forearc</w:t>
      </w:r>
      <w:proofErr w:type="spellEnd"/>
      <w:r w:rsidRPr="00C6239D">
        <w:t xml:space="preserve"> ridge and </w:t>
      </w:r>
      <w:proofErr w:type="spellStart"/>
      <w:r w:rsidRPr="00C6239D">
        <w:t>forearc</w:t>
      </w:r>
      <w:proofErr w:type="spellEnd"/>
      <w:r w:rsidRPr="00C6239D">
        <w:t xml:space="preserve"> basin.</w:t>
      </w:r>
      <w:proofErr w:type="gramEnd"/>
      <w:r w:rsidRPr="00C6239D">
        <w:t xml:space="preserve"> This fault is a fault parallel to the Sumatran fault or the </w:t>
      </w:r>
      <w:proofErr w:type="spellStart"/>
      <w:r w:rsidRPr="00C6239D">
        <w:t>Semangko</w:t>
      </w:r>
      <w:proofErr w:type="spellEnd"/>
      <w:r w:rsidRPr="00C6239D">
        <w:t xml:space="preserve"> fault [4].</w:t>
      </w:r>
    </w:p>
    <w:p w:rsidR="00C6239D" w:rsidRDefault="00C6239D">
      <w:pPr>
        <w:pStyle w:val="IJASEITParagraph"/>
        <w:spacing w:after="0" w:line="260" w:lineRule="auto"/>
        <w:ind w:firstLine="426"/>
      </w:pPr>
      <w:r w:rsidRPr="00C6239D">
        <w:t xml:space="preserve">West Sumatra is one of the provinces located on the west coast of the island of central Sumatra which has four active fault segments. This segment is part of the Sumatran fault zone. </w:t>
      </w:r>
      <w:proofErr w:type="gramStart"/>
      <w:r w:rsidRPr="00C6239D">
        <w:t xml:space="preserve">Among them, the </w:t>
      </w:r>
      <w:proofErr w:type="spellStart"/>
      <w:r w:rsidRPr="00C6239D">
        <w:t>Sumpu</w:t>
      </w:r>
      <w:proofErr w:type="spellEnd"/>
      <w:r w:rsidRPr="00C6239D">
        <w:t xml:space="preserve"> Segment, </w:t>
      </w:r>
      <w:proofErr w:type="spellStart"/>
      <w:r w:rsidRPr="00C6239D">
        <w:t>Sianok</w:t>
      </w:r>
      <w:proofErr w:type="spellEnd"/>
      <w:r w:rsidRPr="00C6239D">
        <w:t xml:space="preserve"> Segment, </w:t>
      </w:r>
      <w:proofErr w:type="spellStart"/>
      <w:r w:rsidRPr="00C6239D">
        <w:t>Sumani</w:t>
      </w:r>
      <w:proofErr w:type="spellEnd"/>
      <w:r w:rsidRPr="00C6239D">
        <w:t xml:space="preserve"> Segment, and Difficult Segment [5].</w:t>
      </w:r>
      <w:proofErr w:type="gramEnd"/>
      <w:r w:rsidRPr="00C6239D">
        <w:t xml:space="preserve"> This geological condition causes frequent earthquakes in the province of West Sumatra. An earthquake is a sudden release of seismic wave energy. This release of energy is caused by the deformation of tectonic plates that occur in the earth's crust [6]. Earthquakes can cause damage, loss of property and claim many lives. The processes that cause large and destructive earthquakes in an area need to be understood with local tectonic stress conditions and the level of seismic activity [7].</w:t>
      </w:r>
    </w:p>
    <w:p w:rsidR="00C6239D" w:rsidRDefault="00C6239D">
      <w:pPr>
        <w:pStyle w:val="IJASEITParagraph"/>
        <w:spacing w:after="0" w:line="260" w:lineRule="auto"/>
        <w:ind w:firstLine="426"/>
      </w:pPr>
      <w:r w:rsidRPr="00C6239D">
        <w:t xml:space="preserve">Local tectonic stress conditions and the level of seismic activity can be determined by performing b-value analysis and </w:t>
      </w:r>
      <w:r w:rsidR="00A93426" w:rsidRPr="00C6239D">
        <w:t xml:space="preserve">peak ground acceleration </w:t>
      </w:r>
      <w:r w:rsidRPr="00C6239D">
        <w:t>(PGA</w:t>
      </w:r>
      <w:r w:rsidR="00013100">
        <w:t>)</w:t>
      </w:r>
      <w:r w:rsidRPr="00C6239D">
        <w:t xml:space="preserve">. B-value is one of the parameters of tectonic conditions in an area that is being observed and depends on the nature of local rocks and the level of rock fragility [8][9]. B-value also reflects tectonic conditions related to rock stress in an area. High B-value correlates with low rock stress conditions and has a high heterogeneity medium, but </w:t>
      </w:r>
      <w:r w:rsidR="001F79D2">
        <w:t xml:space="preserve">a </w:t>
      </w:r>
      <w:r w:rsidRPr="00C6239D">
        <w:t xml:space="preserve">low b-value correlates with high rock stress conditions and has low heterogeneity medium [7][10]. B-value can be estimated using statistical analysis methods, one of which is proposed by </w:t>
      </w:r>
      <w:proofErr w:type="spellStart"/>
      <w:r w:rsidRPr="00C6239D">
        <w:t>Utsu</w:t>
      </w:r>
      <w:proofErr w:type="spellEnd"/>
      <w:r w:rsidRPr="00C6239D">
        <w:t xml:space="preserve"> (1965) known as the Maximum Likelihood method as defined as follows [11]:</w:t>
      </w:r>
    </w:p>
    <w:p w:rsidR="008C224B" w:rsidRDefault="008C224B">
      <w:pPr>
        <w:pStyle w:val="IJASEITParagraph"/>
        <w:spacing w:after="0" w:line="260" w:lineRule="auto"/>
        <w:ind w:firstLine="426"/>
      </w:pPr>
    </w:p>
    <w:p w:rsidR="0006619E" w:rsidRDefault="0006619E" w:rsidP="0006619E">
      <w:pPr>
        <w:pStyle w:val="IJASEITParagraph"/>
        <w:spacing w:after="0" w:line="260" w:lineRule="auto"/>
        <w:ind w:left="1620" w:firstLine="426"/>
        <w:rPr>
          <w:rFonts w:eastAsiaTheme="minorEastAsia"/>
        </w:rPr>
      </w:pPr>
      <m:oMath>
        <m:r>
          <w:rPr>
            <w:rFonts w:ascii="Cambria Math" w:hAnsi="Cambria Math"/>
          </w:rPr>
          <m:t>b=</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e</m:t>
                </m:r>
              </m:e>
            </m:func>
          </m:num>
          <m:den>
            <m:acc>
              <m:accPr>
                <m:chr m:val="̅"/>
                <m:ctrlPr>
                  <w:rPr>
                    <w:rFonts w:ascii="Cambria Math" w:hAnsi="Cambria Math"/>
                    <w:i/>
                  </w:rPr>
                </m:ctrlPr>
              </m:accPr>
              <m:e>
                <m:r>
                  <w:rPr>
                    <w:rFonts w:ascii="Cambria Math" w:hAnsi="Cambria Math"/>
                  </w:rPr>
                  <m:t>M</m:t>
                </m:r>
              </m:e>
            </m:acc>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den>
        </m:f>
      </m:oMath>
      <w:r>
        <w:rPr>
          <w:rFonts w:eastAsiaTheme="minorEastAsia"/>
        </w:rPr>
        <w:tab/>
      </w:r>
      <w:r w:rsidR="00C6239D">
        <w:rPr>
          <w:rFonts w:eastAsiaTheme="minorEastAsia"/>
        </w:rPr>
        <w:t xml:space="preserve">   </w:t>
      </w:r>
      <w:proofErr w:type="gramStart"/>
      <w:r w:rsidR="00C6239D">
        <w:rPr>
          <w:rFonts w:eastAsiaTheme="minorEastAsia"/>
        </w:rPr>
        <w:t>or</w:t>
      </w:r>
      <w:proofErr w:type="gramEnd"/>
      <w:r>
        <w:rPr>
          <w:rFonts w:eastAsiaTheme="minorEastAsia"/>
        </w:rPr>
        <w:tab/>
      </w:r>
      <w:r w:rsidR="00933DE0">
        <w:rPr>
          <w:rFonts w:eastAsiaTheme="minorEastAsia"/>
        </w:rPr>
        <w:t xml:space="preserve">    </w:t>
      </w:r>
      <m:oMath>
        <m:r>
          <w:rPr>
            <w:rFonts w:ascii="Cambria Math" w:hAnsi="Cambria Math"/>
          </w:rPr>
          <m:t>b=</m:t>
        </m:r>
        <m:f>
          <m:fPr>
            <m:ctrlPr>
              <w:rPr>
                <w:rFonts w:ascii="Cambria Math" w:hAnsi="Cambria Math"/>
                <w:i/>
              </w:rPr>
            </m:ctrlPr>
          </m:fPr>
          <m:num>
            <m:r>
              <w:rPr>
                <w:rFonts w:ascii="Cambria Math" w:hAnsi="Cambria Math"/>
              </w:rPr>
              <m:t>0.4343</m:t>
            </m:r>
          </m:num>
          <m:den>
            <m:acc>
              <m:accPr>
                <m:chr m:val="̅"/>
                <m:ctrlPr>
                  <w:rPr>
                    <w:rFonts w:ascii="Cambria Math" w:hAnsi="Cambria Math"/>
                    <w:i/>
                  </w:rPr>
                </m:ctrlPr>
              </m:accPr>
              <m:e>
                <m:r>
                  <w:rPr>
                    <w:rFonts w:ascii="Cambria Math" w:hAnsi="Cambria Math"/>
                  </w:rPr>
                  <m:t>M</m:t>
                </m:r>
              </m:e>
            </m:acc>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p>
    <w:p w:rsidR="008C224B" w:rsidRDefault="008C224B" w:rsidP="0006619E">
      <w:pPr>
        <w:pStyle w:val="IJASEITParagraph"/>
        <w:spacing w:after="0" w:line="260" w:lineRule="auto"/>
        <w:ind w:left="1620" w:firstLine="426"/>
      </w:pPr>
    </w:p>
    <w:p w:rsidR="00933DE0" w:rsidRDefault="00C6239D" w:rsidP="00933DE0">
      <w:pPr>
        <w:pStyle w:val="IJASEITParagraph"/>
        <w:spacing w:after="0" w:line="260" w:lineRule="auto"/>
        <w:ind w:firstLine="0"/>
      </w:pPr>
      <w:proofErr w:type="gramStart"/>
      <w:r>
        <w:t>where</w:t>
      </w:r>
      <w:proofErr w:type="gramEnd"/>
      <w:r w:rsidR="00933DE0">
        <w:t>:</w:t>
      </w:r>
    </w:p>
    <w:p w:rsidR="00933DE0" w:rsidRDefault="00E76463" w:rsidP="00FD11F3">
      <w:pPr>
        <w:pStyle w:val="IJASEITParagraph"/>
        <w:spacing w:after="0" w:line="260" w:lineRule="auto"/>
        <w:ind w:left="90" w:firstLine="0"/>
      </w:pPr>
      <m:oMath>
        <m:acc>
          <m:accPr>
            <m:chr m:val="̅"/>
            <m:ctrlPr>
              <w:rPr>
                <w:rFonts w:ascii="Cambria Math" w:hAnsi="Cambria Math"/>
                <w:i/>
              </w:rPr>
            </m:ctrlPr>
          </m:accPr>
          <m:e>
            <m:r>
              <w:rPr>
                <w:rFonts w:ascii="Cambria Math" w:hAnsi="Cambria Math"/>
              </w:rPr>
              <m:t>M</m:t>
            </m:r>
          </m:e>
        </m:acc>
      </m:oMath>
      <w:r w:rsidR="00933DE0">
        <w:rPr>
          <w:rFonts w:eastAsiaTheme="minorEastAsia"/>
        </w:rPr>
        <w:tab/>
      </w:r>
      <w:r w:rsidR="008C224B">
        <w:rPr>
          <w:rFonts w:eastAsiaTheme="minorEastAsia"/>
        </w:rPr>
        <w:t xml:space="preserve"> </w:t>
      </w:r>
      <w:r w:rsidR="00C6239D">
        <w:t xml:space="preserve">= </w:t>
      </w:r>
      <w:r w:rsidR="00C6239D" w:rsidRPr="00C6239D">
        <w:t>Average Magnitude</w:t>
      </w:r>
    </w:p>
    <w:p w:rsidR="00933DE0" w:rsidRDefault="00E76463" w:rsidP="00FD11F3">
      <w:pPr>
        <w:pStyle w:val="IJASEITParagraph"/>
        <w:spacing w:after="0" w:line="260" w:lineRule="auto"/>
        <w:ind w:left="90" w:firstLine="0"/>
      </w:pP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00933DE0">
        <w:rPr>
          <w:rFonts w:eastAsiaTheme="minorEastAsia"/>
        </w:rPr>
        <w:tab/>
      </w:r>
      <w:r w:rsidR="008C224B">
        <w:rPr>
          <w:rFonts w:eastAsiaTheme="minorEastAsia"/>
        </w:rPr>
        <w:t xml:space="preserve"> </w:t>
      </w:r>
      <w:r w:rsidR="00C6239D">
        <w:t xml:space="preserve">= </w:t>
      </w:r>
      <w:r w:rsidR="00C6239D" w:rsidRPr="00C6239D">
        <w:t>Minimum Magnitude</w:t>
      </w:r>
    </w:p>
    <w:p w:rsidR="0001475D" w:rsidRDefault="0001475D" w:rsidP="00933DE0">
      <w:pPr>
        <w:pStyle w:val="IJASEITParagraph"/>
        <w:spacing w:after="0" w:line="260" w:lineRule="auto"/>
        <w:ind w:firstLine="0"/>
      </w:pPr>
    </w:p>
    <w:p w:rsidR="0046169C" w:rsidRDefault="0046169C" w:rsidP="00933DE0">
      <w:pPr>
        <w:pStyle w:val="IJASEITParagraph"/>
        <w:spacing w:after="0" w:line="260" w:lineRule="auto"/>
        <w:ind w:firstLine="426"/>
      </w:pPr>
      <w:r w:rsidRPr="0046169C">
        <w:t xml:space="preserve">Peak </w:t>
      </w:r>
      <w:r w:rsidR="00A93426" w:rsidRPr="0046169C">
        <w:t xml:space="preserve">ground acceleration </w:t>
      </w:r>
      <w:r w:rsidRPr="0046169C">
        <w:t xml:space="preserve">(PGA) is one of the parameters that </w:t>
      </w:r>
      <w:proofErr w:type="gramStart"/>
      <w:r w:rsidRPr="0046169C">
        <w:t>determines</w:t>
      </w:r>
      <w:proofErr w:type="gramEnd"/>
      <w:r w:rsidRPr="0046169C">
        <w:t xml:space="preserve"> the value of the largest ground acceleration that has ever occurred in an area caused by waves from an earthquake [12]. The size of the ground acceleration indicates the level of seismic activity or the risk of an earthquake that needs to be taken into account as one of the measuring points in the design of earthquake-resistant buildings [13]. This parameter can be calculated based on the magnitude and distance of the earthquake source that occurred at the measurement point [14]. The PGA value is obtained from the measurement res</w:t>
      </w:r>
      <w:r w:rsidR="00013100">
        <w:t xml:space="preserve">ults either directly using the </w:t>
      </w:r>
      <w:proofErr w:type="spellStart"/>
      <w:r w:rsidR="00013100">
        <w:t>a</w:t>
      </w:r>
      <w:r w:rsidRPr="0046169C">
        <w:t>ccelerograph</w:t>
      </w:r>
      <w:proofErr w:type="spellEnd"/>
      <w:r w:rsidRPr="0046169C">
        <w:t xml:space="preserve"> or through calculations using an empirical formula using earthquake data [15].</w:t>
      </w:r>
    </w:p>
    <w:p w:rsidR="00933DE0" w:rsidRDefault="0049259D" w:rsidP="0049259D">
      <w:pPr>
        <w:pStyle w:val="IJASEITParagraph"/>
        <w:spacing w:after="0" w:line="260" w:lineRule="auto"/>
        <w:ind w:firstLine="426"/>
      </w:pPr>
      <w:r w:rsidRPr="0049259D">
        <w:t xml:space="preserve">Several empirical formulas that can be used in </w:t>
      </w:r>
      <w:r>
        <w:t>calculating the peak</w:t>
      </w:r>
      <w:r w:rsidRPr="0049259D">
        <w:t xml:space="preserve"> ground acceleration value in an area include the formula from Donovan (1973), </w:t>
      </w:r>
      <w:proofErr w:type="spellStart"/>
      <w:r w:rsidRPr="0049259D">
        <w:t>Esteva</w:t>
      </w:r>
      <w:proofErr w:type="spellEnd"/>
      <w:r w:rsidRPr="0049259D">
        <w:t xml:space="preserve"> (1970), and Lin and Wu (2010). The form of the equation formula from Donovan (1973) is:</w:t>
      </w:r>
    </w:p>
    <w:p w:rsidR="008C224B" w:rsidRDefault="008C224B" w:rsidP="008C224B">
      <w:pPr>
        <w:pStyle w:val="IJASEITParagraph"/>
        <w:spacing w:after="0" w:line="260" w:lineRule="auto"/>
        <w:ind w:left="450" w:firstLine="0"/>
      </w:pPr>
    </w:p>
    <w:p w:rsidR="0001475D" w:rsidRDefault="0001475D" w:rsidP="0001475D">
      <w:pPr>
        <w:pStyle w:val="IJASEITParagraph"/>
        <w:spacing w:after="0" w:line="260" w:lineRule="auto"/>
        <w:ind w:left="2070" w:firstLine="0"/>
        <w:rPr>
          <w:rFonts w:eastAsiaTheme="minorEastAsia"/>
        </w:rPr>
      </w:pPr>
      <m:oMath>
        <m:r>
          <w:rPr>
            <w:rFonts w:ascii="Cambria Math" w:hAnsi="Cambria Math"/>
          </w:rPr>
          <m:t>α=</m:t>
        </m:r>
        <m:f>
          <m:fPr>
            <m:ctrlPr>
              <w:rPr>
                <w:rFonts w:ascii="Cambria Math" w:hAnsi="Cambria Math"/>
                <w:i/>
              </w:rPr>
            </m:ctrlPr>
          </m:fPr>
          <m:num>
            <m:r>
              <w:rPr>
                <w:rFonts w:ascii="Cambria Math" w:hAnsi="Cambria Math"/>
              </w:rPr>
              <m:t>1080×</m:t>
            </m:r>
            <m:r>
              <m:rPr>
                <m:sty m:val="p"/>
              </m:rPr>
              <w:rPr>
                <w:rFonts w:ascii="Cambria Math" w:hAnsi="Cambria Math"/>
              </w:rPr>
              <m:t>exp⁡</m:t>
            </m:r>
            <m:r>
              <w:rPr>
                <w:rFonts w:ascii="Cambria Math" w:hAnsi="Cambria Math"/>
              </w:rPr>
              <m:t>(0.5Ms)</m:t>
            </m:r>
          </m:num>
          <m:den>
            <m:sSup>
              <m:sSupPr>
                <m:ctrlPr>
                  <w:rPr>
                    <w:rFonts w:ascii="Cambria Math" w:hAnsi="Cambria Math"/>
                    <w:i/>
                  </w:rPr>
                </m:ctrlPr>
              </m:sSupPr>
              <m:e>
                <m:r>
                  <w:rPr>
                    <w:rFonts w:ascii="Cambria Math" w:hAnsi="Cambria Math"/>
                  </w:rPr>
                  <m:t>(R+25)</m:t>
                </m:r>
              </m:e>
              <m:sup>
                <m:r>
                  <w:rPr>
                    <w:rFonts w:ascii="Cambria Math" w:hAnsi="Cambria Math"/>
                  </w:rPr>
                  <m:t>1.32</m:t>
                </m:r>
              </m:sup>
            </m:sSup>
          </m:den>
        </m:f>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w:t>
      </w:r>
    </w:p>
    <w:p w:rsidR="008C224B" w:rsidRDefault="008C224B" w:rsidP="0001475D">
      <w:pPr>
        <w:pStyle w:val="IJASEITParagraph"/>
        <w:spacing w:after="0" w:line="260" w:lineRule="auto"/>
        <w:ind w:left="2070" w:firstLine="0"/>
        <w:rPr>
          <w:rFonts w:eastAsiaTheme="minorEastAsia"/>
        </w:rPr>
      </w:pPr>
    </w:p>
    <w:p w:rsidR="0001475D" w:rsidRDefault="0046169C" w:rsidP="0049259D">
      <w:pPr>
        <w:pStyle w:val="IJASEITParagraph"/>
        <w:spacing w:after="0" w:line="260" w:lineRule="auto"/>
        <w:ind w:firstLine="0"/>
      </w:pPr>
      <w:r>
        <w:t>where</w:t>
      </w:r>
      <w:r w:rsidR="0001475D">
        <w:t>:</w:t>
      </w:r>
    </w:p>
    <w:p w:rsidR="0001475D" w:rsidRDefault="0001475D" w:rsidP="0049259D">
      <w:pPr>
        <w:pStyle w:val="IJASEITParagraph"/>
        <w:spacing w:after="0" w:line="260" w:lineRule="auto"/>
        <w:ind w:left="90" w:firstLine="0"/>
      </w:pPr>
      <w:r w:rsidRPr="0001475D">
        <w:rPr>
          <w:i/>
        </w:rPr>
        <w:t>α</w:t>
      </w:r>
      <w:r>
        <w:tab/>
        <w:t xml:space="preserve">= </w:t>
      </w:r>
      <w:r w:rsidR="0046169C">
        <w:t>Peak</w:t>
      </w:r>
      <w:r w:rsidR="0046169C" w:rsidRPr="0046169C">
        <w:t xml:space="preserve"> Ground Acceleration Value </w:t>
      </w:r>
      <w:r>
        <w:t>(gal)</w:t>
      </w:r>
    </w:p>
    <w:p w:rsidR="0001475D" w:rsidRDefault="0001475D" w:rsidP="0049259D">
      <w:pPr>
        <w:pStyle w:val="IJASEITParagraph"/>
        <w:spacing w:after="0" w:line="260" w:lineRule="auto"/>
        <w:ind w:left="90" w:firstLine="0"/>
      </w:pPr>
      <w:r w:rsidRPr="0001475D">
        <w:rPr>
          <w:i/>
        </w:rPr>
        <w:t>M</w:t>
      </w:r>
      <w:r w:rsidR="00F53227">
        <w:rPr>
          <w:i/>
          <w:vertAlign w:val="subscript"/>
        </w:rPr>
        <w:t>S</w:t>
      </w:r>
      <w:r w:rsidR="0046169C">
        <w:tab/>
        <w:t xml:space="preserve">= </w:t>
      </w:r>
      <w:r w:rsidR="0046169C" w:rsidRPr="0046169C">
        <w:t>Surface Magnitude</w:t>
      </w:r>
    </w:p>
    <w:p w:rsidR="0001475D" w:rsidRDefault="0001475D" w:rsidP="0049259D">
      <w:pPr>
        <w:pStyle w:val="IJASEITParagraph"/>
        <w:spacing w:after="0" w:line="260" w:lineRule="auto"/>
        <w:ind w:left="90" w:firstLine="0"/>
      </w:pPr>
      <w:r w:rsidRPr="0001475D">
        <w:rPr>
          <w:i/>
        </w:rPr>
        <w:t>R</w:t>
      </w:r>
      <w:r>
        <w:tab/>
        <w:t xml:space="preserve">= </w:t>
      </w:r>
      <w:r w:rsidR="0046169C" w:rsidRPr="0046169C">
        <w:t xml:space="preserve">Hypocenter Distance </w:t>
      </w:r>
      <w:r>
        <w:t>(km)</w:t>
      </w:r>
      <w:r w:rsidR="00E84AA1">
        <w:t xml:space="preserve"> [16].</w:t>
      </w:r>
    </w:p>
    <w:p w:rsidR="0001475D" w:rsidRDefault="0001475D" w:rsidP="0001475D">
      <w:pPr>
        <w:pStyle w:val="IJASEITParagraph"/>
        <w:spacing w:after="0" w:line="260" w:lineRule="auto"/>
        <w:ind w:left="450" w:firstLine="0"/>
      </w:pPr>
    </w:p>
    <w:p w:rsidR="0001475D" w:rsidRDefault="0049259D" w:rsidP="0049259D">
      <w:pPr>
        <w:pStyle w:val="IJASEITParagraph"/>
        <w:spacing w:after="0" w:line="260" w:lineRule="auto"/>
        <w:ind w:left="450" w:firstLine="0"/>
      </w:pPr>
      <w:r w:rsidRPr="0049259D">
        <w:t xml:space="preserve">The form of the formula equation from </w:t>
      </w:r>
      <w:proofErr w:type="spellStart"/>
      <w:r w:rsidRPr="0049259D">
        <w:t>Esteva</w:t>
      </w:r>
      <w:proofErr w:type="spellEnd"/>
      <w:r w:rsidRPr="0049259D">
        <w:t xml:space="preserve"> (1970) is:</w:t>
      </w:r>
    </w:p>
    <w:p w:rsidR="008C224B" w:rsidRDefault="008C224B" w:rsidP="008C224B">
      <w:pPr>
        <w:pStyle w:val="IJASEITParagraph"/>
        <w:spacing w:after="0" w:line="260" w:lineRule="auto"/>
        <w:ind w:left="450" w:firstLine="0"/>
      </w:pPr>
    </w:p>
    <w:p w:rsidR="0001475D" w:rsidRDefault="0001475D" w:rsidP="0001475D">
      <w:pPr>
        <w:pStyle w:val="IJASEITParagraph"/>
        <w:spacing w:after="0" w:line="260" w:lineRule="auto"/>
        <w:ind w:left="2070" w:firstLine="0"/>
        <w:rPr>
          <w:rFonts w:eastAsiaTheme="minorEastAsia"/>
        </w:rPr>
      </w:pPr>
      <m:oMath>
        <m:r>
          <w:rPr>
            <w:rFonts w:ascii="Cambria Math" w:hAnsi="Cambria Math"/>
          </w:rPr>
          <m:t>α=</m:t>
        </m:r>
        <m:f>
          <m:fPr>
            <m:ctrlPr>
              <w:rPr>
                <w:rFonts w:ascii="Cambria Math" w:hAnsi="Cambria Math"/>
                <w:i/>
              </w:rPr>
            </m:ctrlPr>
          </m:fPr>
          <m:num>
            <m:r>
              <w:rPr>
                <w:rFonts w:ascii="Cambria Math" w:hAnsi="Cambria Math"/>
              </w:rPr>
              <m:t>1230×</m:t>
            </m:r>
            <m:r>
              <m:rPr>
                <m:sty m:val="p"/>
              </m:rPr>
              <w:rPr>
                <w:rFonts w:ascii="Cambria Math" w:hAnsi="Cambria Math"/>
              </w:rPr>
              <m:t>exp⁡</m:t>
            </m:r>
            <m:r>
              <w:rPr>
                <w:rFonts w:ascii="Cambria Math" w:hAnsi="Cambria Math"/>
              </w:rPr>
              <m:t>(0.8Ms)</m:t>
            </m:r>
          </m:num>
          <m:den>
            <m:sSup>
              <m:sSupPr>
                <m:ctrlPr>
                  <w:rPr>
                    <w:rFonts w:ascii="Cambria Math" w:hAnsi="Cambria Math"/>
                    <w:i/>
                  </w:rPr>
                </m:ctrlPr>
              </m:sSupPr>
              <m:e>
                <m:r>
                  <w:rPr>
                    <w:rFonts w:ascii="Cambria Math" w:hAnsi="Cambria Math"/>
                  </w:rPr>
                  <m:t>(R+25)</m:t>
                </m:r>
              </m:e>
              <m:sup>
                <m:r>
                  <w:rPr>
                    <w:rFonts w:ascii="Cambria Math" w:hAnsi="Cambria Math"/>
                  </w:rPr>
                  <m:t>2</m:t>
                </m:r>
              </m:sup>
            </m:sSup>
          </m:den>
        </m:f>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w:t>
      </w:r>
    </w:p>
    <w:p w:rsidR="008C224B" w:rsidRDefault="008C224B" w:rsidP="0001475D">
      <w:pPr>
        <w:pStyle w:val="IJASEITParagraph"/>
        <w:spacing w:after="0" w:line="260" w:lineRule="auto"/>
        <w:ind w:left="2070" w:firstLine="0"/>
      </w:pPr>
    </w:p>
    <w:p w:rsidR="0001475D" w:rsidRDefault="00F27137" w:rsidP="0049259D">
      <w:pPr>
        <w:pStyle w:val="IJASEITParagraph"/>
        <w:spacing w:after="0" w:line="260" w:lineRule="auto"/>
        <w:ind w:firstLine="0"/>
      </w:pPr>
      <w:r>
        <w:t>where</w:t>
      </w:r>
      <w:r w:rsidR="0001475D">
        <w:t>:</w:t>
      </w:r>
    </w:p>
    <w:p w:rsidR="0001475D" w:rsidRDefault="0001475D" w:rsidP="0049259D">
      <w:pPr>
        <w:pStyle w:val="IJASEITParagraph"/>
        <w:spacing w:after="0" w:line="260" w:lineRule="auto"/>
        <w:ind w:left="90" w:firstLine="0"/>
      </w:pPr>
      <w:r w:rsidRPr="0001475D">
        <w:rPr>
          <w:i/>
        </w:rPr>
        <w:t>α</w:t>
      </w:r>
      <w:r>
        <w:tab/>
        <w:t xml:space="preserve">= </w:t>
      </w:r>
      <w:r w:rsidR="0046169C">
        <w:t>Peak</w:t>
      </w:r>
      <w:r w:rsidR="0046169C" w:rsidRPr="0046169C">
        <w:t xml:space="preserve"> Ground Acceleration Value </w:t>
      </w:r>
      <w:r>
        <w:t>(gal)</w:t>
      </w:r>
    </w:p>
    <w:p w:rsidR="0001475D" w:rsidRDefault="0001475D" w:rsidP="0049259D">
      <w:pPr>
        <w:pStyle w:val="IJASEITParagraph"/>
        <w:spacing w:after="0" w:line="260" w:lineRule="auto"/>
        <w:ind w:left="90" w:firstLine="0"/>
      </w:pPr>
      <w:r w:rsidRPr="0001475D">
        <w:rPr>
          <w:i/>
        </w:rPr>
        <w:t>M</w:t>
      </w:r>
      <w:r w:rsidR="00F53227">
        <w:rPr>
          <w:i/>
          <w:vertAlign w:val="subscript"/>
        </w:rPr>
        <w:t>S</w:t>
      </w:r>
      <w:r>
        <w:tab/>
        <w:t xml:space="preserve">= </w:t>
      </w:r>
      <w:r w:rsidR="0046169C" w:rsidRPr="0046169C">
        <w:t>Surface Magnitude</w:t>
      </w:r>
    </w:p>
    <w:p w:rsidR="0001475D" w:rsidRDefault="0001475D" w:rsidP="0049259D">
      <w:pPr>
        <w:pStyle w:val="IJASEITParagraph"/>
        <w:spacing w:after="0" w:line="260" w:lineRule="auto"/>
        <w:ind w:left="90" w:firstLine="0"/>
      </w:pPr>
      <w:r w:rsidRPr="0001475D">
        <w:rPr>
          <w:i/>
        </w:rPr>
        <w:t>R</w:t>
      </w:r>
      <w:r>
        <w:tab/>
        <w:t xml:space="preserve">= </w:t>
      </w:r>
      <w:r w:rsidR="0046169C" w:rsidRPr="0046169C">
        <w:t xml:space="preserve">Hypocenter Distance </w:t>
      </w:r>
      <w:r>
        <w:t>(km)</w:t>
      </w:r>
      <w:r w:rsidR="00746B37">
        <w:t xml:space="preserve"> </w:t>
      </w:r>
      <w:r w:rsidR="00C602D4">
        <w:t>[17].</w:t>
      </w:r>
    </w:p>
    <w:p w:rsidR="008C224B" w:rsidRDefault="008C224B" w:rsidP="0001475D">
      <w:pPr>
        <w:pStyle w:val="IJASEITParagraph"/>
        <w:spacing w:after="0" w:line="260" w:lineRule="auto"/>
        <w:ind w:left="450" w:firstLine="0"/>
      </w:pPr>
    </w:p>
    <w:p w:rsidR="00CF45F3" w:rsidRDefault="00CF45F3" w:rsidP="0001475D">
      <w:pPr>
        <w:pStyle w:val="IJASEITParagraph"/>
        <w:spacing w:after="0" w:line="260" w:lineRule="auto"/>
        <w:ind w:left="450" w:firstLine="0"/>
      </w:pPr>
    </w:p>
    <w:p w:rsidR="0001475D" w:rsidRDefault="0049259D" w:rsidP="0049259D">
      <w:pPr>
        <w:pStyle w:val="IJASEITParagraph"/>
        <w:spacing w:after="0" w:line="260" w:lineRule="auto"/>
        <w:ind w:left="450" w:firstLine="0"/>
      </w:pPr>
      <w:r w:rsidRPr="0049259D">
        <w:lastRenderedPageBreak/>
        <w:t>The form of the formula equation from Lin and Wu (2010) is:</w:t>
      </w:r>
    </w:p>
    <w:p w:rsidR="008C224B" w:rsidRDefault="008C224B" w:rsidP="008C224B">
      <w:pPr>
        <w:pStyle w:val="IJASEITParagraph"/>
        <w:spacing w:after="0" w:line="260" w:lineRule="auto"/>
        <w:ind w:left="450" w:firstLine="0"/>
      </w:pPr>
    </w:p>
    <w:p w:rsidR="0001475D" w:rsidRDefault="00E76463" w:rsidP="0001475D">
      <w:pPr>
        <w:pStyle w:val="IJASEITParagraph"/>
        <w:spacing w:after="0" w:line="260" w:lineRule="auto"/>
        <w:ind w:left="2070" w:firstLine="0"/>
        <w:rPr>
          <w:rFonts w:eastAsiaTheme="minorEastAsia"/>
        </w:rPr>
      </w:pPr>
      <m:oMath>
        <m:func>
          <m:funcPr>
            <m:ctrlPr>
              <w:rPr>
                <w:rFonts w:ascii="Cambria Math" w:hAnsi="Cambria Math"/>
                <w:i/>
              </w:rPr>
            </m:ctrlPr>
          </m:funcPr>
          <m:fName>
            <m:r>
              <m:rPr>
                <m:sty m:val="p"/>
              </m:rPr>
              <w:rPr>
                <w:rFonts w:ascii="Cambria Math" w:hAnsi="Cambria Math"/>
              </w:rPr>
              <m:t>log</m:t>
            </m:r>
          </m:fName>
          <m:e>
            <m:r>
              <w:rPr>
                <w:rFonts w:ascii="Cambria Math" w:hAnsi="Cambria Math"/>
              </w:rPr>
              <m:t>α</m:t>
            </m:r>
          </m:e>
        </m:func>
        <m:r>
          <w:rPr>
            <w:rFonts w:ascii="Cambria Math" w:hAnsi="Cambria Math"/>
          </w:rPr>
          <m:t>=-0.395×</m:t>
        </m:r>
        <m:func>
          <m:funcPr>
            <m:ctrlPr>
              <w:rPr>
                <w:rFonts w:ascii="Cambria Math" w:hAnsi="Cambria Math"/>
                <w:i/>
              </w:rPr>
            </m:ctrlPr>
          </m:funcPr>
          <m:fName>
            <m:r>
              <m:rPr>
                <m:sty m:val="p"/>
              </m:rPr>
              <w:rPr>
                <w:rFonts w:ascii="Cambria Math" w:hAnsi="Cambria Math"/>
              </w:rPr>
              <m:t>log</m:t>
            </m:r>
          </m:fName>
          <m:e>
            <m:r>
              <w:rPr>
                <w:rFonts w:ascii="Cambria Math" w:hAnsi="Cambria Math"/>
              </w:rPr>
              <m:t>R+0.125×M+1.979</m:t>
            </m:r>
          </m:e>
        </m:func>
      </m:oMath>
      <w:r w:rsidR="0001475D">
        <w:rPr>
          <w:rFonts w:eastAsiaTheme="minorEastAsia"/>
        </w:rPr>
        <w:t xml:space="preserve">  </w:t>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t>(4)</w:t>
      </w:r>
    </w:p>
    <w:p w:rsidR="008C224B" w:rsidRDefault="008C224B" w:rsidP="0001475D">
      <w:pPr>
        <w:pStyle w:val="IJASEITParagraph"/>
        <w:spacing w:after="0" w:line="260" w:lineRule="auto"/>
        <w:ind w:left="2070" w:firstLine="0"/>
      </w:pPr>
    </w:p>
    <w:p w:rsidR="0001475D" w:rsidRDefault="00E10C73" w:rsidP="0049259D">
      <w:pPr>
        <w:pStyle w:val="IJASEITParagraph"/>
        <w:spacing w:after="0" w:line="260" w:lineRule="auto"/>
        <w:ind w:firstLine="0"/>
      </w:pPr>
      <w:r>
        <w:t>where</w:t>
      </w:r>
      <w:r w:rsidR="0001475D">
        <w:t>:</w:t>
      </w:r>
    </w:p>
    <w:p w:rsidR="0001475D" w:rsidRDefault="0001475D" w:rsidP="0049259D">
      <w:pPr>
        <w:pStyle w:val="IJASEITParagraph"/>
        <w:spacing w:after="0" w:line="260" w:lineRule="auto"/>
        <w:ind w:left="90" w:firstLine="0"/>
      </w:pPr>
      <w:r w:rsidRPr="0001475D">
        <w:rPr>
          <w:i/>
        </w:rPr>
        <w:t>α</w:t>
      </w:r>
      <w:r>
        <w:tab/>
        <w:t xml:space="preserve">= </w:t>
      </w:r>
      <w:r w:rsidR="00E10C73">
        <w:t>Peak</w:t>
      </w:r>
      <w:r w:rsidR="00E10C73" w:rsidRPr="0046169C">
        <w:t xml:space="preserve"> Ground Acceleration Value </w:t>
      </w:r>
      <w:r>
        <w:t>(gal)</w:t>
      </w:r>
    </w:p>
    <w:p w:rsidR="0001475D" w:rsidRDefault="0001475D" w:rsidP="0049259D">
      <w:pPr>
        <w:pStyle w:val="IJASEITParagraph"/>
        <w:spacing w:after="0" w:line="260" w:lineRule="auto"/>
        <w:ind w:left="90" w:firstLine="0"/>
      </w:pPr>
      <w:r w:rsidRPr="0001475D">
        <w:rPr>
          <w:i/>
        </w:rPr>
        <w:t>M</w:t>
      </w:r>
      <w:r w:rsidR="00E10C73">
        <w:tab/>
        <w:t xml:space="preserve">= </w:t>
      </w:r>
      <w:r w:rsidR="00E10C73" w:rsidRPr="00E10C73">
        <w:t>Magnitude</w:t>
      </w:r>
    </w:p>
    <w:p w:rsidR="0001475D" w:rsidRDefault="0001475D" w:rsidP="0049259D">
      <w:pPr>
        <w:pStyle w:val="IJASEITParagraph"/>
        <w:spacing w:after="0" w:line="260" w:lineRule="auto"/>
        <w:ind w:left="90" w:firstLine="0"/>
      </w:pPr>
      <w:r w:rsidRPr="0001475D">
        <w:rPr>
          <w:i/>
        </w:rPr>
        <w:t>R</w:t>
      </w:r>
      <w:r>
        <w:tab/>
        <w:t xml:space="preserve">= </w:t>
      </w:r>
      <w:r w:rsidR="00E10C73" w:rsidRPr="00E10C73">
        <w:t xml:space="preserve">Hypocenter Distance </w:t>
      </w:r>
      <w:r>
        <w:t>(km)</w:t>
      </w:r>
      <w:r w:rsidR="00746B37">
        <w:t xml:space="preserve"> </w:t>
      </w:r>
      <w:r w:rsidR="00F714DC">
        <w:t>[18].</w:t>
      </w:r>
    </w:p>
    <w:p w:rsidR="0001475D" w:rsidRDefault="0001475D" w:rsidP="0001475D">
      <w:pPr>
        <w:pStyle w:val="IJASEITParagraph"/>
        <w:spacing w:after="0" w:line="260" w:lineRule="auto"/>
        <w:ind w:firstLine="426"/>
      </w:pPr>
    </w:p>
    <w:p w:rsidR="00E10C73" w:rsidRDefault="00E10C73" w:rsidP="0001475D">
      <w:pPr>
        <w:pStyle w:val="IJASEITParagraph"/>
        <w:spacing w:after="0" w:line="260" w:lineRule="auto"/>
        <w:ind w:firstLine="426"/>
      </w:pPr>
      <w:r w:rsidRPr="00E10C73">
        <w:t>Based on the above formulas, in this study, in determining the empirical formula for the PGA model, it will refer to the Lin and Wu empirical equation. The general form of Lin and Wu's empirical formulation is:</w:t>
      </w:r>
    </w:p>
    <w:p w:rsidR="008C224B" w:rsidRDefault="008C224B" w:rsidP="0001475D">
      <w:pPr>
        <w:pStyle w:val="IJASEITParagraph"/>
        <w:spacing w:after="0" w:line="260" w:lineRule="auto"/>
        <w:ind w:firstLine="426"/>
      </w:pPr>
    </w:p>
    <w:p w:rsidR="0001475D" w:rsidRDefault="00E76463" w:rsidP="0001475D">
      <w:pPr>
        <w:pStyle w:val="IJASEITParagraph"/>
        <w:spacing w:after="0" w:line="260" w:lineRule="auto"/>
        <w:ind w:left="2070" w:firstLine="0"/>
        <w:rPr>
          <w:rFonts w:eastAsiaTheme="minorEastAsia"/>
        </w:rPr>
      </w:pPr>
      <m:oMath>
        <m:func>
          <m:funcPr>
            <m:ctrlPr>
              <w:rPr>
                <w:rFonts w:ascii="Cambria Math" w:hAnsi="Cambria Math"/>
                <w:i/>
              </w:rPr>
            </m:ctrlPr>
          </m:funcPr>
          <m:fName>
            <m:r>
              <m:rPr>
                <m:sty m:val="p"/>
              </m:rPr>
              <w:rPr>
                <w:rFonts w:ascii="Cambria Math" w:hAnsi="Cambria Math"/>
              </w:rPr>
              <m:t>log</m:t>
            </m:r>
          </m:fName>
          <m:e>
            <m:r>
              <w:rPr>
                <w:rFonts w:ascii="Cambria Math" w:hAnsi="Cambria Math"/>
              </w:rPr>
              <m:t>α</m:t>
            </m:r>
            <m:r>
              <m:rPr>
                <m:sty m:val="p"/>
              </m:rPr>
              <w:rPr>
                <w:rFonts w:ascii="Cambria Math"/>
              </w:rPr>
              <m:t>=</m:t>
            </m:r>
            <m:r>
              <w:rPr>
                <w:rFonts w:ascii="Cambria Math"/>
              </w:rPr>
              <m:t>a</m:t>
            </m:r>
            <m:func>
              <m:funcPr>
                <m:ctrlPr>
                  <w:rPr>
                    <w:rFonts w:ascii="Cambria Math" w:hAnsi="Cambria Math" w:cs="Cambria Math"/>
                    <w:i/>
                  </w:rPr>
                </m:ctrlPr>
              </m:funcPr>
              <m:fName>
                <m:r>
                  <m:rPr>
                    <m:sty m:val="p"/>
                  </m:rPr>
                  <w:rPr>
                    <w:rFonts w:ascii="Cambria Math"/>
                  </w:rPr>
                  <m:t>log</m:t>
                </m:r>
                <m:ctrlPr>
                  <w:rPr>
                    <w:rFonts w:ascii="Cambria Math" w:hAnsi="Cambria Math"/>
                    <w:i/>
                  </w:rPr>
                </m:ctrlPr>
              </m:fName>
              <m:e>
                <m:r>
                  <w:rPr>
                    <w:rFonts w:ascii="Cambria Math"/>
                  </w:rPr>
                  <m:t>R+bM+c</m:t>
                </m:r>
                <m:ctrlPr>
                  <w:rPr>
                    <w:rFonts w:ascii="Cambria Math" w:hAnsi="Cambria Math"/>
                    <w:i/>
                  </w:rPr>
                </m:ctrlPr>
              </m:e>
            </m:func>
          </m:e>
        </m:func>
      </m:oMath>
      <w:r w:rsidR="0001475D">
        <w:rPr>
          <w:rFonts w:eastAsiaTheme="minorEastAsia"/>
        </w:rPr>
        <w:t xml:space="preserve">   </w:t>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r>
      <w:r w:rsidR="0001475D">
        <w:rPr>
          <w:rFonts w:eastAsiaTheme="minorEastAsia"/>
        </w:rPr>
        <w:tab/>
        <w:t>(5)</w:t>
      </w:r>
    </w:p>
    <w:p w:rsidR="008C224B" w:rsidRDefault="008C224B" w:rsidP="0001475D">
      <w:pPr>
        <w:pStyle w:val="IJASEITParagraph"/>
        <w:spacing w:after="0" w:line="260" w:lineRule="auto"/>
        <w:ind w:left="2070" w:firstLine="0"/>
        <w:rPr>
          <w:rFonts w:eastAsiaTheme="minorEastAsia"/>
        </w:rPr>
      </w:pPr>
    </w:p>
    <w:p w:rsidR="0001475D" w:rsidRPr="0001475D" w:rsidRDefault="00E10C73" w:rsidP="00746B37">
      <w:pPr>
        <w:pStyle w:val="IJASEITParagraph"/>
        <w:spacing w:after="0" w:line="260" w:lineRule="auto"/>
        <w:ind w:firstLine="0"/>
        <w:rPr>
          <w:rFonts w:eastAsiaTheme="minorEastAsia"/>
        </w:rPr>
      </w:pPr>
      <w:r>
        <w:rPr>
          <w:rFonts w:eastAsiaTheme="minorEastAsia"/>
        </w:rPr>
        <w:t>where</w:t>
      </w:r>
      <w:r w:rsidR="0001475D" w:rsidRPr="0001475D">
        <w:rPr>
          <w:rFonts w:eastAsiaTheme="minorEastAsia"/>
        </w:rPr>
        <w:t>:</w:t>
      </w:r>
    </w:p>
    <w:p w:rsidR="0001475D" w:rsidRPr="0001475D" w:rsidRDefault="00746B37" w:rsidP="00F53227">
      <w:pPr>
        <w:pStyle w:val="IJASEITParagraph"/>
        <w:spacing w:after="0" w:line="260" w:lineRule="auto"/>
        <w:ind w:left="90" w:firstLine="0"/>
        <w:rPr>
          <w:rFonts w:eastAsiaTheme="minorEastAsia"/>
        </w:rPr>
      </w:pPr>
      <w:r w:rsidRPr="00746B37">
        <w:rPr>
          <w:rFonts w:eastAsiaTheme="minorEastAsia"/>
          <w:i/>
        </w:rPr>
        <w:t>α</w:t>
      </w:r>
      <w:r>
        <w:rPr>
          <w:rFonts w:eastAsiaTheme="minorEastAsia"/>
        </w:rPr>
        <w:tab/>
      </w:r>
      <w:r w:rsidR="008C224B">
        <w:rPr>
          <w:rFonts w:eastAsiaTheme="minorEastAsia"/>
        </w:rPr>
        <w:t xml:space="preserve"> </w:t>
      </w:r>
      <w:r w:rsidR="0001475D" w:rsidRPr="0001475D">
        <w:rPr>
          <w:rFonts w:eastAsiaTheme="minorEastAsia"/>
        </w:rPr>
        <w:t xml:space="preserve">= </w:t>
      </w:r>
      <w:r w:rsidR="00E10C73">
        <w:t>Peak</w:t>
      </w:r>
      <w:r w:rsidR="00E10C73" w:rsidRPr="0046169C">
        <w:t xml:space="preserve"> Ground Acceleration Value </w:t>
      </w:r>
      <w:r w:rsidR="0001475D" w:rsidRPr="0001475D">
        <w:rPr>
          <w:rFonts w:eastAsiaTheme="minorEastAsia"/>
        </w:rPr>
        <w:t>(gal)</w:t>
      </w:r>
    </w:p>
    <w:p w:rsidR="0001475D" w:rsidRPr="0001475D" w:rsidRDefault="0001475D" w:rsidP="00F53227">
      <w:pPr>
        <w:pStyle w:val="IJASEITParagraph"/>
        <w:spacing w:after="0" w:line="260" w:lineRule="auto"/>
        <w:ind w:left="90" w:firstLine="0"/>
        <w:rPr>
          <w:rFonts w:eastAsiaTheme="minorEastAsia"/>
        </w:rPr>
      </w:pPr>
      <w:r w:rsidRPr="00746B37">
        <w:rPr>
          <w:rFonts w:eastAsiaTheme="minorEastAsia"/>
          <w:i/>
        </w:rPr>
        <w:t>M</w:t>
      </w:r>
      <w:r w:rsidRPr="0001475D">
        <w:rPr>
          <w:rFonts w:eastAsiaTheme="minorEastAsia"/>
        </w:rPr>
        <w:tab/>
      </w:r>
      <w:r w:rsidR="008C224B">
        <w:rPr>
          <w:rFonts w:eastAsiaTheme="minorEastAsia"/>
        </w:rPr>
        <w:t xml:space="preserve"> </w:t>
      </w:r>
      <w:r w:rsidRPr="0001475D">
        <w:rPr>
          <w:rFonts w:eastAsiaTheme="minorEastAsia"/>
        </w:rPr>
        <w:t xml:space="preserve">= </w:t>
      </w:r>
      <w:r w:rsidR="00E10C73" w:rsidRPr="00E10C73">
        <w:t>Magnitude</w:t>
      </w:r>
    </w:p>
    <w:p w:rsidR="0001475D" w:rsidRPr="0001475D" w:rsidRDefault="00746B37" w:rsidP="00F53227">
      <w:pPr>
        <w:pStyle w:val="IJASEITParagraph"/>
        <w:spacing w:after="0" w:line="260" w:lineRule="auto"/>
        <w:ind w:left="90" w:firstLine="0"/>
        <w:rPr>
          <w:rFonts w:eastAsiaTheme="minorEastAsia"/>
        </w:rPr>
      </w:pPr>
      <w:r w:rsidRPr="00746B37">
        <w:rPr>
          <w:rFonts w:eastAsiaTheme="minorEastAsia"/>
          <w:i/>
        </w:rPr>
        <w:t>R</w:t>
      </w:r>
      <w:r>
        <w:rPr>
          <w:rFonts w:eastAsiaTheme="minorEastAsia"/>
        </w:rPr>
        <w:tab/>
      </w:r>
      <w:r w:rsidR="008C224B">
        <w:rPr>
          <w:rFonts w:eastAsiaTheme="minorEastAsia"/>
        </w:rPr>
        <w:t xml:space="preserve"> </w:t>
      </w:r>
      <w:r w:rsidR="0001475D" w:rsidRPr="0001475D">
        <w:rPr>
          <w:rFonts w:eastAsiaTheme="minorEastAsia"/>
        </w:rPr>
        <w:t xml:space="preserve">= </w:t>
      </w:r>
      <w:r w:rsidR="00E10C73" w:rsidRPr="00E10C73">
        <w:t xml:space="preserve">Hypocenter Distance </w:t>
      </w:r>
      <w:r w:rsidR="0001475D" w:rsidRPr="0001475D">
        <w:rPr>
          <w:rFonts w:eastAsiaTheme="minorEastAsia"/>
        </w:rPr>
        <w:t>(km)</w:t>
      </w:r>
    </w:p>
    <w:p w:rsidR="0001475D" w:rsidRPr="0001475D" w:rsidRDefault="00746B37" w:rsidP="00F53227">
      <w:pPr>
        <w:pStyle w:val="IJASEITParagraph"/>
        <w:spacing w:after="0" w:line="260" w:lineRule="auto"/>
        <w:ind w:left="90" w:firstLine="0"/>
        <w:rPr>
          <w:rFonts w:eastAsiaTheme="minorEastAsia"/>
        </w:rPr>
      </w:pPr>
      <w:r w:rsidRPr="00746B37">
        <w:rPr>
          <w:rFonts w:eastAsiaTheme="minorEastAsia"/>
          <w:i/>
        </w:rPr>
        <w:t>a</w:t>
      </w:r>
      <w:r>
        <w:rPr>
          <w:rFonts w:eastAsiaTheme="minorEastAsia"/>
        </w:rPr>
        <w:tab/>
      </w:r>
      <w:r w:rsidR="008C224B">
        <w:rPr>
          <w:rFonts w:eastAsiaTheme="minorEastAsia"/>
        </w:rPr>
        <w:t xml:space="preserve"> </w:t>
      </w:r>
      <w:r w:rsidR="0001475D" w:rsidRPr="0001475D">
        <w:rPr>
          <w:rFonts w:eastAsiaTheme="minorEastAsia"/>
        </w:rPr>
        <w:t xml:space="preserve">= </w:t>
      </w:r>
      <w:r w:rsidR="00E10C73" w:rsidRPr="00E10C73">
        <w:rPr>
          <w:rFonts w:eastAsiaTheme="minorEastAsia"/>
        </w:rPr>
        <w:t>Geometrical Spreading Coefficient</w:t>
      </w:r>
    </w:p>
    <w:p w:rsidR="0001475D" w:rsidRPr="0001475D" w:rsidRDefault="00746B37" w:rsidP="00F53227">
      <w:pPr>
        <w:pStyle w:val="IJASEITParagraph"/>
        <w:spacing w:after="0" w:line="260" w:lineRule="auto"/>
        <w:ind w:left="90" w:firstLine="0"/>
        <w:rPr>
          <w:rFonts w:eastAsiaTheme="minorEastAsia"/>
        </w:rPr>
      </w:pPr>
      <w:r w:rsidRPr="00746B37">
        <w:rPr>
          <w:rFonts w:eastAsiaTheme="minorEastAsia"/>
          <w:i/>
        </w:rPr>
        <w:t>b</w:t>
      </w:r>
      <w:r>
        <w:rPr>
          <w:rFonts w:eastAsiaTheme="minorEastAsia"/>
        </w:rPr>
        <w:tab/>
      </w:r>
      <w:r w:rsidR="008C224B">
        <w:rPr>
          <w:rFonts w:eastAsiaTheme="minorEastAsia"/>
        </w:rPr>
        <w:t xml:space="preserve"> </w:t>
      </w:r>
      <w:r w:rsidR="0001475D" w:rsidRPr="0001475D">
        <w:rPr>
          <w:rFonts w:eastAsiaTheme="minorEastAsia"/>
        </w:rPr>
        <w:t xml:space="preserve">= </w:t>
      </w:r>
      <w:r w:rsidR="00E10C73" w:rsidRPr="00E10C73">
        <w:rPr>
          <w:rFonts w:eastAsiaTheme="minorEastAsia"/>
        </w:rPr>
        <w:t>Magnitude Empirical Coefficient</w:t>
      </w:r>
    </w:p>
    <w:p w:rsidR="0001475D" w:rsidRDefault="00746B37" w:rsidP="00F53227">
      <w:pPr>
        <w:pStyle w:val="IJASEITParagraph"/>
        <w:spacing w:after="0" w:line="260" w:lineRule="auto"/>
        <w:ind w:left="90" w:firstLine="0"/>
        <w:rPr>
          <w:rFonts w:eastAsiaTheme="minorEastAsia"/>
        </w:rPr>
      </w:pPr>
      <w:r w:rsidRPr="00746B37">
        <w:rPr>
          <w:rFonts w:eastAsiaTheme="minorEastAsia"/>
          <w:i/>
        </w:rPr>
        <w:t>c</w:t>
      </w:r>
      <w:r>
        <w:rPr>
          <w:rFonts w:eastAsiaTheme="minorEastAsia"/>
        </w:rPr>
        <w:t xml:space="preserve"> </w:t>
      </w:r>
      <w:r>
        <w:rPr>
          <w:rFonts w:eastAsiaTheme="minorEastAsia"/>
        </w:rPr>
        <w:tab/>
      </w:r>
      <w:r w:rsidR="008C224B">
        <w:rPr>
          <w:rFonts w:eastAsiaTheme="minorEastAsia"/>
        </w:rPr>
        <w:t xml:space="preserve"> </w:t>
      </w:r>
      <w:r w:rsidR="0001475D" w:rsidRPr="0001475D">
        <w:rPr>
          <w:rFonts w:eastAsiaTheme="minorEastAsia"/>
        </w:rPr>
        <w:t xml:space="preserve">= </w:t>
      </w:r>
      <w:r w:rsidR="00E10C73">
        <w:rPr>
          <w:rFonts w:eastAsiaTheme="minorEastAsia"/>
        </w:rPr>
        <w:t>C</w:t>
      </w:r>
      <w:r w:rsidR="00E10C73" w:rsidRPr="00E10C73">
        <w:rPr>
          <w:rFonts w:eastAsiaTheme="minorEastAsia"/>
        </w:rPr>
        <w:t>onstant</w:t>
      </w:r>
    </w:p>
    <w:p w:rsidR="00746B37" w:rsidRDefault="00746B37" w:rsidP="00746B37">
      <w:pPr>
        <w:pStyle w:val="IJASEITParagraph"/>
        <w:spacing w:after="0" w:line="260" w:lineRule="auto"/>
        <w:ind w:firstLine="0"/>
      </w:pPr>
    </w:p>
    <w:p w:rsidR="00AB3C16" w:rsidRDefault="00AB3C16" w:rsidP="00F714DC">
      <w:pPr>
        <w:pStyle w:val="IJASEITParagraph"/>
        <w:spacing w:after="0" w:line="260" w:lineRule="auto"/>
        <w:ind w:firstLine="450"/>
      </w:pPr>
      <w:r w:rsidRPr="00AB3C16">
        <w:t>Mapping and analysis of local tectonic stress conditions and the level of seismic activity based</w:t>
      </w:r>
      <w:r w:rsidR="0078468A">
        <w:t xml:space="preserve"> on rock physical parameters are </w:t>
      </w:r>
      <w:r w:rsidRPr="00AB3C16">
        <w:t xml:space="preserve">one of the efforts to mitigate earthquake disasters. The local tectonic stress conditions and the level of seismic activity can be determined by performing b-value analysis and </w:t>
      </w:r>
      <w:r w:rsidR="00A93426" w:rsidRPr="00AB3C16">
        <w:t>peak ground acceleration</w:t>
      </w:r>
      <w:r w:rsidRPr="00AB3C16">
        <w:t xml:space="preserve"> (PGA</w:t>
      </w:r>
      <w:r w:rsidR="00AB2871">
        <w:t>)</w:t>
      </w:r>
      <w:r w:rsidRPr="00AB3C16">
        <w:t>. The magnitude of the value of ground acceleration indicates the risk of an earthquake that needs to be taken into account as a part of the planning of earthquake-resistant buildings [13]. Therefore, these two values can be used as information on earthquake disaster mitigation, especially for the province of West Sumatra in the process of building earthquake-resistant structures and infrastructure facilities.</w:t>
      </w:r>
    </w:p>
    <w:sdt>
      <w:sdtPr>
        <w:rPr>
          <w:bCs/>
          <w:sz w:val="21"/>
          <w:lang w:val="id-ID"/>
        </w:rPr>
        <w:id w:val="92756879"/>
        <w:text/>
      </w:sdtPr>
      <w:sdtContent>
        <w:p w:rsidR="002C1D98" w:rsidRDefault="0032099D">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p>
      </w:sdtContent>
    </w:sdt>
    <w:p w:rsidR="00AB3C16" w:rsidRDefault="00AB3C16" w:rsidP="00AA048F">
      <w:pPr>
        <w:pStyle w:val="IJASEITParagraph"/>
        <w:spacing w:after="0" w:line="240" w:lineRule="auto"/>
        <w:ind w:firstLine="426"/>
      </w:pPr>
      <w:r w:rsidRPr="00AB3C16">
        <w:t xml:space="preserve">This type of research is a descriptive study using secondary data in the form of earthquake data sourced from the catalog of the National Earthquakes Information Center U.S. Geological Survey (NEIC/USGS) in the 2007-2020 period. This study examines local tectonic stress conditions and the level of seismic activity by analyzing b-value and </w:t>
      </w:r>
      <w:r w:rsidR="00A93426" w:rsidRPr="00AB3C16">
        <w:t>pe</w:t>
      </w:r>
      <w:r w:rsidR="00A93426">
        <w:t xml:space="preserve">ak ground acceleration </w:t>
      </w:r>
      <w:r w:rsidR="00A63EFE">
        <w:t xml:space="preserve">(PGA) </w:t>
      </w:r>
      <w:r w:rsidRPr="00AB3C16">
        <w:t>using the maximum likelihood method and empirical formulas to obtain new information. The parameters used in this study were latitude, longitude, magnitude, epicenter, hypocent</w:t>
      </w:r>
      <w:r w:rsidR="00E61A1D">
        <w:t>er, earthquake depth</w:t>
      </w:r>
      <w:r w:rsidR="0078468A">
        <w:t>,</w:t>
      </w:r>
      <w:r w:rsidR="00E61A1D">
        <w:t xml:space="preserve"> and peak</w:t>
      </w:r>
      <w:r w:rsidRPr="00AB3C16">
        <w:t xml:space="preserve"> ground acceleration value. The earthquake data used has a magnitude </w:t>
      </w:r>
      <w:r w:rsidR="00653DBB">
        <w:t xml:space="preserve">≥ </w:t>
      </w:r>
      <w:r w:rsidRPr="00AB3C16">
        <w:t xml:space="preserve">5 SR and a depth of </w:t>
      </w:r>
      <w:r w:rsidR="00653DBB" w:rsidRPr="005E679E">
        <w:t>≤</w:t>
      </w:r>
      <w:r w:rsidR="00653DBB">
        <w:t xml:space="preserve"> </w:t>
      </w:r>
      <w:r w:rsidRPr="00AB3C16">
        <w:t xml:space="preserve">100 km which is located in the province of West Sumatra </w:t>
      </w:r>
      <w:r w:rsidR="00791D1E">
        <w:t>with coordinates 3º 50' S - 1º 20' N</w:t>
      </w:r>
      <w:r w:rsidRPr="00AB3C16">
        <w:t xml:space="preserve"> and 9</w:t>
      </w:r>
      <w:r w:rsidR="00791D1E">
        <w:t>8º 10' - 102º 10' E</w:t>
      </w:r>
      <w:r w:rsidRPr="00AB3C16">
        <w:t>. The steps of data processing carried out to</w:t>
      </w:r>
      <w:r w:rsidR="00A63EFE">
        <w:t xml:space="preserve"> produce the b-value and peak </w:t>
      </w:r>
      <w:r w:rsidRPr="00AB3C16">
        <w:t>ground acceleration in this study are as follows.</w:t>
      </w:r>
    </w:p>
    <w:p w:rsidR="00AB3C16" w:rsidRDefault="00AB3C16" w:rsidP="00AA048F">
      <w:pPr>
        <w:pStyle w:val="IJASEITParagraph"/>
        <w:spacing w:after="0" w:line="240" w:lineRule="auto"/>
        <w:ind w:firstLine="426"/>
      </w:pPr>
      <w:r w:rsidRPr="00AB3C16">
        <w:t>The first is to calculate the distance between the coordinates of the earthquake epicenter to each of the coor</w:t>
      </w:r>
      <w:r w:rsidR="0078468A">
        <w:t xml:space="preserve">dinates of the calculation area </w:t>
      </w:r>
      <w:r w:rsidRPr="00AB3C16">
        <w:t>so that the epicenter distance (</w:t>
      </w:r>
      <w:r w:rsidRPr="00A63EFE">
        <w:rPr>
          <w:i/>
        </w:rPr>
        <w:t>D</w:t>
      </w:r>
      <w:r w:rsidRPr="00AB3C16">
        <w:t>) is obtained using Equation (6).</w:t>
      </w:r>
    </w:p>
    <w:p w:rsidR="008C224B" w:rsidRDefault="008C224B" w:rsidP="00AA048F">
      <w:pPr>
        <w:pStyle w:val="IJASEITParagraph"/>
        <w:spacing w:after="0" w:line="240" w:lineRule="auto"/>
        <w:ind w:firstLine="426"/>
      </w:pPr>
    </w:p>
    <w:p w:rsidR="00667522" w:rsidRDefault="00E76463" w:rsidP="00667522">
      <w:pPr>
        <w:pStyle w:val="IJASEITParagraph"/>
        <w:spacing w:after="0" w:line="240" w:lineRule="auto"/>
        <w:ind w:left="2070" w:firstLine="0"/>
        <w:rPr>
          <w:rFonts w:eastAsiaTheme="minorEastAsia"/>
        </w:rPr>
      </w:pPr>
      <m:oMath>
        <m:sSup>
          <m:sSupPr>
            <m:ctrlPr>
              <w:rPr>
                <w:rFonts w:ascii="Cambria Math" w:eastAsia="Cambria Math" w:hAnsi="Cambria Math" w:cs="Cambria Math"/>
              </w:rPr>
            </m:ctrlPr>
          </m:sSupPr>
          <m:e>
            <m:r>
              <w:rPr>
                <w:rFonts w:ascii="Cambria Math" w:eastAsia="Cambria Math" w:hAnsi="Cambria Math" w:cs="Cambria Math"/>
              </w:rPr>
              <m:t>D</m:t>
            </m:r>
          </m:e>
          <m:sup>
            <m:r>
              <w:rPr>
                <w:rFonts w:ascii="Cambria Math" w:eastAsia="Cambria Math" w:hAnsi="Cambria Math" w:cs="Cambria Math"/>
              </w:rPr>
              <m:t>2</m:t>
            </m:r>
          </m:sup>
        </m:sSup>
        <m:r>
          <w:rPr>
            <w:rFonts w:ascii="Cambria Math" w:eastAsia="Cambria Math" w:hAnsi="Cambria Math" w:cs="Cambria Math"/>
          </w:rPr>
          <m:t>=</m:t>
        </m:r>
        <m:sSup>
          <m:sSupPr>
            <m:ctrlPr>
              <w:rPr>
                <w:rFonts w:ascii="Cambria Math" w:eastAsia="Cambria Math" w:hAnsi="Cambria Math" w:cs="Cambria Math"/>
              </w:rPr>
            </m:ctrlPr>
          </m:sSupPr>
          <m:e>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m:t>
                    </m:r>
                  </m:sub>
                </m:sSub>
              </m:e>
            </m:d>
          </m:e>
          <m:sup>
            <m:r>
              <w:rPr>
                <w:rFonts w:ascii="Cambria Math" w:eastAsia="Cambria Math" w:hAnsi="Cambria Math" w:cs="Cambria Math"/>
              </w:rPr>
              <m:t>2</m:t>
            </m:r>
          </m:sup>
        </m:sSup>
        <m:r>
          <w:rPr>
            <w:rFonts w:ascii="Cambria Math" w:eastAsia="Cambria Math" w:hAnsi="Cambria Math" w:cs="Cambria Math"/>
          </w:rPr>
          <m:t>+</m:t>
        </m:r>
        <m:sSup>
          <m:sSupPr>
            <m:ctrlPr>
              <w:rPr>
                <w:rFonts w:ascii="Cambria Math" w:eastAsia="Cambria Math" w:hAnsi="Cambria Math" w:cs="Cambria Math"/>
              </w:rPr>
            </m:ctrlPr>
          </m:sSupPr>
          <m:e>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1</m:t>
                    </m:r>
                  </m:sub>
                </m:sSub>
              </m:e>
            </m:d>
          </m:e>
          <m:sup>
            <m:r>
              <w:rPr>
                <w:rFonts w:ascii="Cambria Math" w:eastAsia="Cambria Math" w:hAnsi="Cambria Math" w:cs="Cambria Math"/>
              </w:rPr>
              <m:t>2</m:t>
            </m:r>
          </m:sup>
        </m:sSup>
      </m:oMath>
      <w:r w:rsidR="00667522">
        <w:rPr>
          <w:rFonts w:eastAsiaTheme="minorEastAsia"/>
        </w:rPr>
        <w:t xml:space="preserve"> </w:t>
      </w:r>
      <w:r w:rsidR="00667522">
        <w:rPr>
          <w:rFonts w:eastAsiaTheme="minorEastAsia"/>
        </w:rPr>
        <w:tab/>
      </w:r>
      <w:r w:rsidR="00667522">
        <w:rPr>
          <w:rFonts w:eastAsiaTheme="minorEastAsia"/>
        </w:rPr>
        <w:tab/>
      </w:r>
      <w:r w:rsidR="00667522">
        <w:rPr>
          <w:rFonts w:eastAsiaTheme="minorEastAsia"/>
        </w:rPr>
        <w:tab/>
      </w:r>
      <w:r w:rsidR="00667522">
        <w:rPr>
          <w:rFonts w:eastAsiaTheme="minorEastAsia"/>
        </w:rPr>
        <w:tab/>
      </w:r>
      <w:r w:rsidR="00667522">
        <w:rPr>
          <w:rFonts w:eastAsiaTheme="minorEastAsia"/>
        </w:rPr>
        <w:tab/>
      </w:r>
      <w:r w:rsidR="00667522">
        <w:rPr>
          <w:rFonts w:eastAsiaTheme="minorEastAsia"/>
        </w:rPr>
        <w:tab/>
      </w:r>
      <w:r w:rsidR="00667522">
        <w:rPr>
          <w:rFonts w:eastAsiaTheme="minorEastAsia"/>
        </w:rPr>
        <w:tab/>
      </w:r>
      <w:r w:rsidR="00667522">
        <w:rPr>
          <w:rFonts w:eastAsiaTheme="minorEastAsia"/>
        </w:rPr>
        <w:tab/>
        <w:t>(6)</w:t>
      </w:r>
    </w:p>
    <w:p w:rsidR="008C224B" w:rsidRDefault="008C224B" w:rsidP="00667522">
      <w:pPr>
        <w:pStyle w:val="IJASEITParagraph"/>
        <w:spacing w:after="0" w:line="240" w:lineRule="auto"/>
        <w:ind w:left="2070" w:firstLine="0"/>
      </w:pPr>
    </w:p>
    <w:p w:rsidR="00AB3C16" w:rsidRDefault="0078468A" w:rsidP="00667522">
      <w:pPr>
        <w:pStyle w:val="IJASEITParagraph"/>
        <w:spacing w:after="0" w:line="240" w:lineRule="auto"/>
        <w:ind w:firstLine="0"/>
      </w:pPr>
      <w:r>
        <w:t>where</w:t>
      </w:r>
      <w:r w:rsidR="00AB3C16" w:rsidRPr="00AB3C16">
        <w:t xml:space="preserve"> </w:t>
      </w:r>
      <w:r w:rsidR="00AB3C16" w:rsidRPr="00A63EFE">
        <w:rPr>
          <w:i/>
        </w:rPr>
        <w:t>D</w:t>
      </w:r>
      <w:r w:rsidR="00AB3C16" w:rsidRPr="00AB3C16">
        <w:t xml:space="preserve"> is the distance from the epicenter to the earthquake recording station, </w:t>
      </w:r>
      <w:r w:rsidR="00AB3C16" w:rsidRPr="00A63EFE">
        <w:rPr>
          <w:i/>
        </w:rPr>
        <w:t>x</w:t>
      </w:r>
      <w:r w:rsidR="00AB3C16" w:rsidRPr="00A63EFE">
        <w:rPr>
          <w:vertAlign w:val="subscript"/>
        </w:rPr>
        <w:t>1</w:t>
      </w:r>
      <w:r w:rsidR="00AB3C16" w:rsidRPr="00AB3C16">
        <w:t xml:space="preserve"> is the latitude of the epicenter, </w:t>
      </w:r>
      <w:r w:rsidR="00AB3C16" w:rsidRPr="00A63EFE">
        <w:rPr>
          <w:i/>
        </w:rPr>
        <w:t>x</w:t>
      </w:r>
      <w:r w:rsidR="00AB3C16" w:rsidRPr="00A63EFE">
        <w:rPr>
          <w:vertAlign w:val="subscript"/>
        </w:rPr>
        <w:t>2</w:t>
      </w:r>
      <w:r w:rsidR="00AB3C16" w:rsidRPr="00AB3C16">
        <w:t xml:space="preserve"> is the latitude of the earthquake recording station, </w:t>
      </w:r>
      <w:r w:rsidR="00AB3C16" w:rsidRPr="00A63EFE">
        <w:rPr>
          <w:i/>
        </w:rPr>
        <w:t>y</w:t>
      </w:r>
      <w:r w:rsidR="00AB3C16" w:rsidRPr="00A63EFE">
        <w:rPr>
          <w:vertAlign w:val="subscript"/>
        </w:rPr>
        <w:t>1</w:t>
      </w:r>
      <w:r w:rsidR="00AB3C16" w:rsidRPr="00AB3C16">
        <w:t xml:space="preserve"> is the longitude of the epicenter, and </w:t>
      </w:r>
      <w:r w:rsidR="00AB3C16" w:rsidRPr="00A63EFE">
        <w:rPr>
          <w:i/>
        </w:rPr>
        <w:t>y</w:t>
      </w:r>
      <w:r w:rsidR="00AB3C16" w:rsidRPr="00A63EFE">
        <w:rPr>
          <w:vertAlign w:val="subscript"/>
        </w:rPr>
        <w:t>2</w:t>
      </w:r>
      <w:r w:rsidR="00AB3C16" w:rsidRPr="00AB3C16">
        <w:t xml:space="preserve"> is the longitude of the earthquake recording station. The units for </w:t>
      </w:r>
      <w:r w:rsidR="00AB3C16" w:rsidRPr="00A63EFE">
        <w:rPr>
          <w:i/>
        </w:rPr>
        <w:t>D</w:t>
      </w:r>
      <w:r w:rsidR="00AB3C16" w:rsidRPr="00AB3C16">
        <w:t xml:space="preserve">, </w:t>
      </w:r>
      <w:r w:rsidR="00AB3C16" w:rsidRPr="00A63EFE">
        <w:rPr>
          <w:i/>
        </w:rPr>
        <w:t>x</w:t>
      </w:r>
      <w:r w:rsidR="00AB3C16" w:rsidRPr="00A63EFE">
        <w:rPr>
          <w:vertAlign w:val="subscript"/>
        </w:rPr>
        <w:t>1</w:t>
      </w:r>
      <w:r w:rsidR="00AB3C16" w:rsidRPr="00AB3C16">
        <w:t xml:space="preserve">, </w:t>
      </w:r>
      <w:r w:rsidR="00AB3C16" w:rsidRPr="00A63EFE">
        <w:rPr>
          <w:i/>
        </w:rPr>
        <w:t>x</w:t>
      </w:r>
      <w:r w:rsidR="00AB3C16" w:rsidRPr="00A63EFE">
        <w:rPr>
          <w:vertAlign w:val="subscript"/>
        </w:rPr>
        <w:t>2</w:t>
      </w:r>
      <w:r w:rsidR="00AB3C16" w:rsidRPr="00AB3C16">
        <w:t xml:space="preserve">, </w:t>
      </w:r>
      <w:r w:rsidR="00AB3C16" w:rsidRPr="00A63EFE">
        <w:rPr>
          <w:i/>
        </w:rPr>
        <w:t>y</w:t>
      </w:r>
      <w:r w:rsidR="00AB3C16" w:rsidRPr="00A63EFE">
        <w:rPr>
          <w:vertAlign w:val="subscript"/>
        </w:rPr>
        <w:t>1</w:t>
      </w:r>
      <w:r w:rsidR="00AB3C16" w:rsidRPr="00AB3C16">
        <w:t xml:space="preserve"> and </w:t>
      </w:r>
      <w:r w:rsidR="00AB3C16" w:rsidRPr="00A63EFE">
        <w:rPr>
          <w:i/>
        </w:rPr>
        <w:t>y</w:t>
      </w:r>
      <w:r w:rsidR="00AB3C16" w:rsidRPr="00A63EFE">
        <w:rPr>
          <w:vertAlign w:val="subscript"/>
        </w:rPr>
        <w:t>2</w:t>
      </w:r>
      <w:r w:rsidR="00AB3C16" w:rsidRPr="00AB3C16">
        <w:t xml:space="preserve"> are in degrees (˚). The epicenter distance obtained must be in km, so it must be </w:t>
      </w:r>
      <w:r w:rsidR="00653DBB">
        <w:t>converted first, where 1˚ = 111.</w:t>
      </w:r>
      <w:r w:rsidR="00AB3C16" w:rsidRPr="00AB3C16">
        <w:t>322 km.</w:t>
      </w:r>
    </w:p>
    <w:p w:rsidR="00AB3C16" w:rsidRDefault="00AB3C16" w:rsidP="00AA048F">
      <w:pPr>
        <w:pStyle w:val="ListParagraph"/>
        <w:spacing w:after="0"/>
        <w:ind w:left="0" w:firstLine="426"/>
        <w:jc w:val="both"/>
        <w:rPr>
          <w:sz w:val="20"/>
          <w:szCs w:val="20"/>
        </w:rPr>
      </w:pPr>
      <w:r w:rsidRPr="00AB3C16">
        <w:rPr>
          <w:sz w:val="20"/>
          <w:szCs w:val="20"/>
        </w:rPr>
        <w:t>The second is to calculate the distance of the earthquake hypocenter (</w:t>
      </w:r>
      <w:r w:rsidRPr="00653DBB">
        <w:rPr>
          <w:i/>
          <w:sz w:val="20"/>
          <w:szCs w:val="20"/>
        </w:rPr>
        <w:t>R</w:t>
      </w:r>
      <w:r w:rsidRPr="00AB3C16">
        <w:rPr>
          <w:sz w:val="20"/>
          <w:szCs w:val="20"/>
        </w:rPr>
        <w:t>) to each coordinate of the calculation area. The hypocenter distance (</w:t>
      </w:r>
      <w:r w:rsidRPr="00653DBB">
        <w:rPr>
          <w:i/>
          <w:sz w:val="20"/>
          <w:szCs w:val="20"/>
        </w:rPr>
        <w:t>R</w:t>
      </w:r>
      <w:r w:rsidRPr="00AB3C16">
        <w:rPr>
          <w:sz w:val="20"/>
          <w:szCs w:val="20"/>
        </w:rPr>
        <w:t>) can be determined using Equation (7).</w:t>
      </w:r>
    </w:p>
    <w:p w:rsidR="008C224B" w:rsidRDefault="008C224B" w:rsidP="00AA048F">
      <w:pPr>
        <w:pStyle w:val="ListParagraph"/>
        <w:spacing w:after="0"/>
        <w:ind w:left="0" w:firstLine="426"/>
        <w:jc w:val="both"/>
        <w:rPr>
          <w:sz w:val="20"/>
          <w:szCs w:val="20"/>
        </w:rPr>
      </w:pPr>
    </w:p>
    <w:p w:rsidR="005405B1" w:rsidRDefault="00E76463" w:rsidP="005405B1">
      <w:pPr>
        <w:pStyle w:val="ListParagraph"/>
        <w:spacing w:after="0"/>
        <w:ind w:left="2070"/>
        <w:jc w:val="both"/>
        <w:rPr>
          <w:rFonts w:eastAsiaTheme="minorEastAsia"/>
          <w:sz w:val="20"/>
          <w:szCs w:val="20"/>
        </w:rPr>
      </w:pPr>
      <m:oMath>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R</m:t>
            </m:r>
          </m:e>
          <m:sup>
            <m:r>
              <w:rPr>
                <w:rFonts w:ascii="Cambria Math" w:eastAsia="Cambria Math" w:hAnsi="Cambria Math" w:cs="Cambria Math"/>
                <w:sz w:val="20"/>
                <w:szCs w:val="20"/>
              </w:rPr>
              <m:t>2</m:t>
            </m:r>
          </m:sup>
        </m:sSup>
        <m:r>
          <w:rPr>
            <w:rFonts w:ascii="Cambria Math" w:eastAsia="Cambria Math" w:hAnsi="Cambria Math" w:cs="Cambria Math"/>
            <w:sz w:val="20"/>
            <w:szCs w:val="20"/>
          </w:rPr>
          <m:t>=</m:t>
        </m:r>
        <m:sSup>
          <m:sSupPr>
            <m:ctrlPr>
              <w:rPr>
                <w:rFonts w:ascii="Cambria Math" w:eastAsia="Cambria Math" w:hAnsi="Cambria Math" w:cs="Cambria Math"/>
                <w:i/>
                <w:sz w:val="20"/>
                <w:szCs w:val="20"/>
              </w:rPr>
            </m:ctrlPr>
          </m:sSupPr>
          <m:e>
            <m:r>
              <w:rPr>
                <w:rFonts w:ascii="Cambria Math" w:eastAsia="Cambria Math" w:hAnsi="Cambria Math" w:cs="Cambria Math"/>
                <w:sz w:val="20"/>
                <w:szCs w:val="20"/>
              </w:rPr>
              <m:t>D</m:t>
            </m:r>
          </m:e>
          <m:sup>
            <m:r>
              <w:rPr>
                <w:rFonts w:ascii="Cambria Math" w:eastAsia="Cambria Math" w:hAnsi="Cambria Math" w:cs="Cambria Math"/>
                <w:sz w:val="20"/>
                <w:szCs w:val="20"/>
              </w:rPr>
              <m:t>2</m:t>
            </m:r>
          </m:sup>
        </m:sSup>
        <m:r>
          <w:rPr>
            <w:rFonts w:ascii="Cambria Math" w:eastAsia="Cambria Math" w:hAnsi="Cambria Math" w:cs="Cambria Math"/>
            <w:sz w:val="20"/>
            <w:szCs w:val="20"/>
          </w:rPr>
          <m:t>+</m:t>
        </m:r>
        <m:sSup>
          <m:sSupPr>
            <m:ctrlPr>
              <w:rPr>
                <w:rFonts w:ascii="Cambria Math" w:eastAsia="Cambria Math" w:hAnsi="Cambria Math" w:cs="Cambria Math"/>
                <w:i/>
                <w:sz w:val="20"/>
                <w:szCs w:val="20"/>
              </w:rPr>
            </m:ctrlPr>
          </m:sSupPr>
          <m:e>
            <m:r>
              <w:rPr>
                <w:rFonts w:ascii="Cambria Math" w:eastAsia="Cambria Math" w:hAnsi="Cambria Math" w:cs="Cambria Math"/>
                <w:sz w:val="20"/>
                <w:szCs w:val="20"/>
              </w:rPr>
              <m:t>H</m:t>
            </m:r>
          </m:e>
          <m:sup>
            <m:r>
              <w:rPr>
                <w:rFonts w:ascii="Cambria Math" w:eastAsia="Cambria Math" w:hAnsi="Cambria Math" w:cs="Cambria Math"/>
                <w:sz w:val="20"/>
                <w:szCs w:val="20"/>
              </w:rPr>
              <m:t>2</m:t>
            </m:r>
          </m:sup>
        </m:sSup>
      </m:oMath>
      <w:r w:rsidR="005405B1">
        <w:rPr>
          <w:rFonts w:eastAsiaTheme="minorEastAsia"/>
          <w:sz w:val="20"/>
          <w:szCs w:val="20"/>
        </w:rPr>
        <w:t xml:space="preserve"> </w:t>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r>
      <w:r w:rsidR="005405B1">
        <w:rPr>
          <w:rFonts w:eastAsiaTheme="minorEastAsia"/>
          <w:sz w:val="20"/>
          <w:szCs w:val="20"/>
        </w:rPr>
        <w:tab/>
        <w:t>(7)</w:t>
      </w:r>
    </w:p>
    <w:p w:rsidR="008C224B" w:rsidRPr="005405B1" w:rsidRDefault="008C224B" w:rsidP="005405B1">
      <w:pPr>
        <w:pStyle w:val="ListParagraph"/>
        <w:spacing w:after="0"/>
        <w:ind w:left="2070"/>
        <w:jc w:val="both"/>
        <w:rPr>
          <w:sz w:val="20"/>
          <w:szCs w:val="20"/>
        </w:rPr>
      </w:pPr>
    </w:p>
    <w:p w:rsidR="00AB3C16" w:rsidRDefault="0078468A" w:rsidP="005A30CC">
      <w:pPr>
        <w:spacing w:after="0"/>
        <w:jc w:val="both"/>
        <w:rPr>
          <w:sz w:val="20"/>
          <w:szCs w:val="20"/>
        </w:rPr>
      </w:pPr>
      <w:r>
        <w:rPr>
          <w:sz w:val="20"/>
          <w:szCs w:val="20"/>
        </w:rPr>
        <w:t>where</w:t>
      </w:r>
      <w:r w:rsidR="00AB3C16" w:rsidRPr="00AB3C16">
        <w:rPr>
          <w:sz w:val="20"/>
          <w:szCs w:val="20"/>
        </w:rPr>
        <w:t xml:space="preserve"> </w:t>
      </w:r>
      <w:r w:rsidR="00AB3C16" w:rsidRPr="00653DBB">
        <w:rPr>
          <w:i/>
          <w:sz w:val="20"/>
          <w:szCs w:val="20"/>
        </w:rPr>
        <w:t>R</w:t>
      </w:r>
      <w:r w:rsidR="00AB3C16" w:rsidRPr="00AB3C16">
        <w:rPr>
          <w:sz w:val="20"/>
          <w:szCs w:val="20"/>
        </w:rPr>
        <w:t xml:space="preserve"> is the hypocenter distance (km), </w:t>
      </w:r>
      <w:r w:rsidR="00AB3C16" w:rsidRPr="00653DBB">
        <w:rPr>
          <w:i/>
          <w:sz w:val="20"/>
          <w:szCs w:val="20"/>
        </w:rPr>
        <w:t>D</w:t>
      </w:r>
      <w:r w:rsidR="00AB3C16" w:rsidRPr="00AB3C16">
        <w:rPr>
          <w:sz w:val="20"/>
          <w:szCs w:val="20"/>
        </w:rPr>
        <w:t xml:space="preserve"> is the epicenter distance (km), and </w:t>
      </w:r>
      <w:r w:rsidR="00AB3C16" w:rsidRPr="00653DBB">
        <w:rPr>
          <w:i/>
          <w:sz w:val="20"/>
          <w:szCs w:val="20"/>
        </w:rPr>
        <w:t>H</w:t>
      </w:r>
      <w:r w:rsidR="00AB3C16" w:rsidRPr="00AB3C16">
        <w:rPr>
          <w:sz w:val="20"/>
          <w:szCs w:val="20"/>
        </w:rPr>
        <w:t xml:space="preserve"> is the earthquake depth (km).</w:t>
      </w:r>
    </w:p>
    <w:p w:rsidR="00AB3C16" w:rsidRDefault="00AB3C16" w:rsidP="00AA048F">
      <w:pPr>
        <w:pStyle w:val="ListParagraph"/>
        <w:spacing w:after="0"/>
        <w:ind w:left="0" w:firstLine="426"/>
        <w:jc w:val="both"/>
        <w:rPr>
          <w:sz w:val="20"/>
          <w:szCs w:val="20"/>
        </w:rPr>
      </w:pPr>
      <w:r w:rsidRPr="00AB3C16">
        <w:rPr>
          <w:sz w:val="20"/>
          <w:szCs w:val="20"/>
        </w:rPr>
        <w:lastRenderedPageBreak/>
        <w:t>After these parameters are obtained, then these values are substituted into the general form of the Lin and Wu empirical equation (5</w:t>
      </w:r>
      <w:r w:rsidR="0078468A">
        <w:rPr>
          <w:sz w:val="20"/>
          <w:szCs w:val="20"/>
        </w:rPr>
        <w:t xml:space="preserve">) </w:t>
      </w:r>
      <w:r w:rsidRPr="00AB3C16">
        <w:rPr>
          <w:sz w:val="20"/>
          <w:szCs w:val="20"/>
        </w:rPr>
        <w:t xml:space="preserve">to obtain a model </w:t>
      </w:r>
      <w:r w:rsidR="0078468A">
        <w:rPr>
          <w:sz w:val="20"/>
          <w:szCs w:val="20"/>
        </w:rPr>
        <w:t>of the empirical formula</w:t>
      </w:r>
      <w:r w:rsidRPr="00AB3C16">
        <w:rPr>
          <w:sz w:val="20"/>
          <w:szCs w:val="20"/>
        </w:rPr>
        <w:t xml:space="preserve">. The coefficients </w:t>
      </w:r>
      <w:r w:rsidRPr="00CC44F1">
        <w:rPr>
          <w:b/>
          <w:sz w:val="20"/>
          <w:szCs w:val="20"/>
        </w:rPr>
        <w:t>a</w:t>
      </w:r>
      <w:r w:rsidRPr="00AB3C16">
        <w:rPr>
          <w:sz w:val="20"/>
          <w:szCs w:val="20"/>
        </w:rPr>
        <w:t xml:space="preserve">, </w:t>
      </w:r>
      <w:r w:rsidRPr="00CC44F1">
        <w:rPr>
          <w:b/>
          <w:sz w:val="20"/>
          <w:szCs w:val="20"/>
        </w:rPr>
        <w:t>b</w:t>
      </w:r>
      <w:r w:rsidR="0078468A">
        <w:rPr>
          <w:sz w:val="20"/>
          <w:szCs w:val="20"/>
        </w:rPr>
        <w:t>,</w:t>
      </w:r>
      <w:r w:rsidRPr="00AB3C16">
        <w:rPr>
          <w:sz w:val="20"/>
          <w:szCs w:val="20"/>
        </w:rPr>
        <w:t xml:space="preserve"> and </w:t>
      </w:r>
      <w:r w:rsidRPr="00CC44F1">
        <w:rPr>
          <w:b/>
          <w:sz w:val="20"/>
          <w:szCs w:val="20"/>
        </w:rPr>
        <w:t>c</w:t>
      </w:r>
      <w:r w:rsidRPr="00AB3C16">
        <w:rPr>
          <w:sz w:val="20"/>
          <w:szCs w:val="20"/>
        </w:rPr>
        <w:t xml:space="preserve"> in Equation (5) can be found using the Gaussian elimination application on the Inversion Problem and processed using t</w:t>
      </w:r>
      <w:r w:rsidR="00653DBB">
        <w:rPr>
          <w:sz w:val="20"/>
          <w:szCs w:val="20"/>
        </w:rPr>
        <w:t>he MATLAB R2007b software. The peak</w:t>
      </w:r>
      <w:r w:rsidRPr="00AB3C16">
        <w:rPr>
          <w:sz w:val="20"/>
          <w:szCs w:val="20"/>
        </w:rPr>
        <w:t xml:space="preserve"> ground acceleration data is taken from the occurrence of 15 earthquake points recorded on the </w:t>
      </w:r>
      <w:proofErr w:type="spellStart"/>
      <w:r w:rsidRPr="00AB3C16">
        <w:rPr>
          <w:sz w:val="20"/>
          <w:szCs w:val="20"/>
        </w:rPr>
        <w:t>accelerograph</w:t>
      </w:r>
      <w:proofErr w:type="spellEnd"/>
      <w:r w:rsidRPr="00AB3C16">
        <w:rPr>
          <w:sz w:val="20"/>
          <w:szCs w:val="20"/>
        </w:rPr>
        <w:t>, with the same earthquake station, namely the Padang earthquake station (PDSI) with latitude 0.9118 and longitude 100.4617.</w:t>
      </w:r>
    </w:p>
    <w:p w:rsidR="00AB3C16" w:rsidRDefault="00AB3C16" w:rsidP="00AA048F">
      <w:pPr>
        <w:pStyle w:val="ListParagraph"/>
        <w:spacing w:after="0"/>
        <w:ind w:left="0" w:firstLine="426"/>
        <w:jc w:val="both"/>
        <w:rPr>
          <w:sz w:val="20"/>
          <w:szCs w:val="20"/>
        </w:rPr>
      </w:pPr>
      <w:r w:rsidRPr="00AB3C16">
        <w:rPr>
          <w:sz w:val="20"/>
          <w:szCs w:val="20"/>
        </w:rPr>
        <w:t xml:space="preserve">The third is calculating the b-value in the province of West Sumatra using the maximum likelihood method. The b-value calculation is done by dividing the research area into 8 regions and calculated using Equation </w:t>
      </w:r>
      <w:r w:rsidR="00653DBB">
        <w:rPr>
          <w:sz w:val="20"/>
          <w:szCs w:val="20"/>
        </w:rPr>
        <w:t>(1). Next, calculate the peak</w:t>
      </w:r>
      <w:r w:rsidRPr="00AB3C16">
        <w:rPr>
          <w:sz w:val="20"/>
          <w:szCs w:val="20"/>
        </w:rPr>
        <w:t xml:space="preserve"> ground acceleration value in the province of West Sumatra using Equation (8) based on historical data from earthquakes that occurred in the province of West Sumatra. The research area is on a grid with a distance of 0˚ 10' or 0.167˚ as shown in Figure 1 below.</w:t>
      </w:r>
    </w:p>
    <w:p w:rsidR="003E23DD" w:rsidRDefault="003E23DD" w:rsidP="00AA048F">
      <w:pPr>
        <w:pStyle w:val="ListParagraph"/>
        <w:spacing w:after="0"/>
        <w:ind w:left="0" w:firstLine="426"/>
        <w:jc w:val="both"/>
        <w:rPr>
          <w:sz w:val="20"/>
          <w:szCs w:val="20"/>
        </w:rPr>
      </w:pPr>
    </w:p>
    <w:p w:rsidR="00D94E0B" w:rsidRDefault="003E23DD" w:rsidP="003E23DD">
      <w:pPr>
        <w:pStyle w:val="ListParagraph"/>
        <w:spacing w:after="0" w:line="240" w:lineRule="auto"/>
        <w:ind w:left="0"/>
        <w:jc w:val="center"/>
        <w:rPr>
          <w:sz w:val="20"/>
          <w:szCs w:val="20"/>
        </w:rPr>
      </w:pPr>
      <w:r>
        <w:rPr>
          <w:noProof/>
          <w:sz w:val="20"/>
          <w:szCs w:val="20"/>
        </w:rPr>
        <w:drawing>
          <wp:inline distT="0" distB="0" distL="0" distR="0">
            <wp:extent cx="4434840" cy="3326130"/>
            <wp:effectExtent l="19050" t="0" r="3810" b="0"/>
            <wp:docPr id="2" name="Picture 2" descr="G:\SKRIPSI\Skripsi Asli\Peta Grid P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RIPSI\Skripsi Asli\Peta Grid PGA.jpg"/>
                    <pic:cNvPicPr>
                      <a:picLocks noChangeAspect="1" noChangeArrowheads="1"/>
                    </pic:cNvPicPr>
                  </pic:nvPicPr>
                  <pic:blipFill>
                    <a:blip r:embed="rId16" cstate="print"/>
                    <a:srcRect/>
                    <a:stretch>
                      <a:fillRect/>
                    </a:stretch>
                  </pic:blipFill>
                  <pic:spPr bwMode="auto">
                    <a:xfrm>
                      <a:off x="0" y="0"/>
                      <a:ext cx="4434840" cy="3326130"/>
                    </a:xfrm>
                    <a:prstGeom prst="rect">
                      <a:avLst/>
                    </a:prstGeom>
                    <a:noFill/>
                    <a:ln w="9525">
                      <a:noFill/>
                      <a:miter lim="800000"/>
                      <a:headEnd/>
                      <a:tailEnd/>
                    </a:ln>
                  </pic:spPr>
                </pic:pic>
              </a:graphicData>
            </a:graphic>
          </wp:inline>
        </w:drawing>
      </w:r>
    </w:p>
    <w:p w:rsidR="00AB3C16" w:rsidRDefault="00E372AD" w:rsidP="003E23DD">
      <w:pPr>
        <w:pStyle w:val="ListParagraph"/>
        <w:spacing w:after="0"/>
        <w:ind w:left="0"/>
        <w:jc w:val="center"/>
        <w:rPr>
          <w:sz w:val="20"/>
          <w:szCs w:val="20"/>
        </w:rPr>
      </w:pPr>
      <w:r w:rsidRPr="00E372AD">
        <w:rPr>
          <w:b/>
          <w:sz w:val="20"/>
          <w:szCs w:val="20"/>
        </w:rPr>
        <w:t xml:space="preserve">Fig. </w:t>
      </w:r>
      <w:r w:rsidR="00AB3C16" w:rsidRPr="00E372AD">
        <w:rPr>
          <w:b/>
          <w:sz w:val="20"/>
          <w:szCs w:val="20"/>
        </w:rPr>
        <w:t>1</w:t>
      </w:r>
      <w:r w:rsidR="00AB3C16" w:rsidRPr="00AB3C16">
        <w:rPr>
          <w:sz w:val="20"/>
          <w:szCs w:val="20"/>
        </w:rPr>
        <w:t>. Grid Map of West Sumatra Province.</w:t>
      </w:r>
    </w:p>
    <w:p w:rsidR="003E23DD" w:rsidRDefault="003E23DD" w:rsidP="003E23DD">
      <w:pPr>
        <w:pStyle w:val="ListParagraph"/>
        <w:spacing w:after="0"/>
        <w:ind w:left="0"/>
        <w:jc w:val="both"/>
        <w:rPr>
          <w:sz w:val="20"/>
          <w:szCs w:val="20"/>
        </w:rPr>
      </w:pPr>
    </w:p>
    <w:p w:rsidR="00AB3C16" w:rsidRDefault="00AB3C16" w:rsidP="003E23DD">
      <w:pPr>
        <w:pStyle w:val="ListParagraph"/>
        <w:spacing w:after="0"/>
        <w:ind w:left="0"/>
        <w:jc w:val="both"/>
        <w:rPr>
          <w:sz w:val="20"/>
          <w:szCs w:val="20"/>
        </w:rPr>
      </w:pPr>
      <w:r w:rsidRPr="00AB3C16">
        <w:rPr>
          <w:sz w:val="20"/>
          <w:szCs w:val="20"/>
        </w:rPr>
        <w:t>Based on Figure 1 there are 800 calculation points, where each</w:t>
      </w:r>
      <w:r w:rsidR="00653DBB">
        <w:rPr>
          <w:sz w:val="20"/>
          <w:szCs w:val="20"/>
        </w:rPr>
        <w:t xml:space="preserve"> point is calculated the peak</w:t>
      </w:r>
      <w:r w:rsidRPr="00AB3C16">
        <w:rPr>
          <w:sz w:val="20"/>
          <w:szCs w:val="20"/>
        </w:rPr>
        <w:t xml:space="preserve"> ground acceleration value fr</w:t>
      </w:r>
      <w:r w:rsidR="00E10BD5">
        <w:rPr>
          <w:sz w:val="20"/>
          <w:szCs w:val="20"/>
        </w:rPr>
        <w:t>om earthquake data for the 2007-</w:t>
      </w:r>
      <w:r w:rsidRPr="00AB3C16">
        <w:rPr>
          <w:sz w:val="20"/>
          <w:szCs w:val="20"/>
        </w:rPr>
        <w:t xml:space="preserve">2020 period with a magnitude </w:t>
      </w:r>
      <w:r w:rsidR="00653DBB">
        <w:rPr>
          <w:sz w:val="20"/>
          <w:szCs w:val="20"/>
        </w:rPr>
        <w:t xml:space="preserve">≥ </w:t>
      </w:r>
      <w:r w:rsidRPr="00AB3C16">
        <w:rPr>
          <w:sz w:val="20"/>
          <w:szCs w:val="20"/>
        </w:rPr>
        <w:t xml:space="preserve">5 SR and a depth of </w:t>
      </w:r>
      <w:r w:rsidR="00653DBB" w:rsidRPr="003E23DD">
        <w:rPr>
          <w:sz w:val="20"/>
          <w:szCs w:val="20"/>
        </w:rPr>
        <w:t>≤</w:t>
      </w:r>
      <w:r w:rsidR="00653DBB">
        <w:rPr>
          <w:sz w:val="20"/>
          <w:szCs w:val="20"/>
        </w:rPr>
        <w:t xml:space="preserve"> </w:t>
      </w:r>
      <w:r w:rsidRPr="00AB3C16">
        <w:rPr>
          <w:sz w:val="20"/>
          <w:szCs w:val="20"/>
        </w:rPr>
        <w:t>100 km.</w:t>
      </w:r>
    </w:p>
    <w:p w:rsidR="00AB3C16" w:rsidRPr="009230C0" w:rsidRDefault="00AB3C16" w:rsidP="009230C0">
      <w:pPr>
        <w:pStyle w:val="ListParagraph"/>
        <w:spacing w:after="0"/>
        <w:ind w:left="0" w:firstLine="426"/>
        <w:jc w:val="both"/>
        <w:rPr>
          <w:sz w:val="20"/>
          <w:szCs w:val="20"/>
        </w:rPr>
      </w:pPr>
      <w:r w:rsidRPr="00AB3C16">
        <w:rPr>
          <w:sz w:val="20"/>
          <w:szCs w:val="20"/>
        </w:rPr>
        <w:t>The fourth is analyzing and making a map of the distrib</w:t>
      </w:r>
      <w:r w:rsidR="00653DBB">
        <w:rPr>
          <w:sz w:val="20"/>
          <w:szCs w:val="20"/>
        </w:rPr>
        <w:t xml:space="preserve">ution of b-value and the peak ground </w:t>
      </w:r>
      <w:r w:rsidRPr="00AB3C16">
        <w:rPr>
          <w:sz w:val="20"/>
          <w:szCs w:val="20"/>
        </w:rPr>
        <w:t xml:space="preserve">acceleration value in the province of West Sumatra based on the results of calculations using </w:t>
      </w:r>
      <w:proofErr w:type="spellStart"/>
      <w:r w:rsidRPr="00AB3C16">
        <w:rPr>
          <w:sz w:val="20"/>
          <w:szCs w:val="20"/>
        </w:rPr>
        <w:t>ArcGIS</w:t>
      </w:r>
      <w:proofErr w:type="spellEnd"/>
      <w:r w:rsidRPr="00AB3C16">
        <w:rPr>
          <w:sz w:val="20"/>
          <w:szCs w:val="20"/>
        </w:rPr>
        <w:t xml:space="preserve"> 10.8 software. These two values can be used as information on earthquake disaster mitigation, especially for the province of West Sumatra in the process of building earthquake-resistant structures and infrastructure facilities.</w:t>
      </w:r>
    </w:p>
    <w:p w:rsidR="002054D6" w:rsidRPr="002054D6" w:rsidRDefault="00E76463" w:rsidP="002054D6">
      <w:pPr>
        <w:pStyle w:val="Heading1"/>
        <w:numPr>
          <w:ilvl w:val="0"/>
          <w:numId w:val="5"/>
        </w:numPr>
        <w:spacing w:before="240" w:after="240" w:line="276" w:lineRule="auto"/>
        <w:ind w:left="0" w:firstLine="0"/>
        <w:jc w:val="left"/>
        <w:rPr>
          <w:bCs/>
          <w:sz w:val="21"/>
        </w:rPr>
      </w:pPr>
      <w:sdt>
        <w:sdtPr>
          <w:rPr>
            <w:bCs/>
            <w:sz w:val="21"/>
            <w:lang w:val="id-ID"/>
          </w:rPr>
          <w:id w:val="92756878"/>
          <w:text/>
        </w:sdtPr>
        <w:sdtContent>
          <w:r w:rsidR="0032099D">
            <w:rPr>
              <w:bCs/>
              <w:sz w:val="21"/>
            </w:rPr>
            <w:t>RESULTS AND DISCUSSION</w:t>
          </w:r>
        </w:sdtContent>
      </w:sdt>
    </w:p>
    <w:p w:rsidR="008C224B"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The results obtained from this study</w:t>
      </w:r>
      <w:r w:rsidR="00795084">
        <w:rPr>
          <w:rFonts w:eastAsia="SimSun" w:cs="Times New Roman"/>
          <w:sz w:val="20"/>
          <w:szCs w:val="20"/>
        </w:rPr>
        <w:t xml:space="preserve"> are the b-value and the peak</w:t>
      </w:r>
      <w:r w:rsidRPr="00AB3C16">
        <w:rPr>
          <w:rFonts w:eastAsia="SimSun" w:cs="Times New Roman"/>
          <w:sz w:val="20"/>
          <w:szCs w:val="20"/>
        </w:rPr>
        <w:t xml:space="preserve"> ground acceleration (PGA) value which is the processing of secondary earthquake data sourced from the National Earthquakes Information Center U.S</w:t>
      </w:r>
      <w:r w:rsidR="005816BA">
        <w:rPr>
          <w:rFonts w:eastAsia="SimSun" w:cs="Times New Roman"/>
          <w:sz w:val="20"/>
          <w:szCs w:val="20"/>
        </w:rPr>
        <w:t>.</w:t>
      </w:r>
      <w:r w:rsidRPr="00AB3C16">
        <w:rPr>
          <w:rFonts w:eastAsia="SimSun" w:cs="Times New Roman"/>
          <w:sz w:val="20"/>
          <w:szCs w:val="20"/>
        </w:rPr>
        <w:t xml:space="preserve"> Geological Survey (NEIC/USGS) site. The earthquake data in this study amounted to 275 events in the period from January 1, 2007</w:t>
      </w:r>
      <w:r w:rsidR="0078468A">
        <w:rPr>
          <w:rFonts w:eastAsia="SimSun" w:cs="Times New Roman"/>
          <w:sz w:val="20"/>
          <w:szCs w:val="20"/>
        </w:rPr>
        <w:t>,</w:t>
      </w:r>
      <w:r w:rsidRPr="00AB3C16">
        <w:rPr>
          <w:rFonts w:eastAsia="SimSun" w:cs="Times New Roman"/>
          <w:sz w:val="20"/>
          <w:szCs w:val="20"/>
        </w:rPr>
        <w:t xml:space="preserve"> to December 31, 2020. The map of the distribution of earthquake data can be seen in Figure 2.</w:t>
      </w:r>
    </w:p>
    <w:p w:rsidR="002054D6" w:rsidRDefault="002054D6" w:rsidP="002054D6">
      <w:pPr>
        <w:spacing w:after="0" w:line="240" w:lineRule="auto"/>
        <w:jc w:val="center"/>
        <w:rPr>
          <w:rFonts w:eastAsia="SimSun" w:cs="Times New Roman"/>
          <w:sz w:val="20"/>
          <w:szCs w:val="20"/>
        </w:rPr>
      </w:pPr>
      <w:r w:rsidRPr="002054D6">
        <w:rPr>
          <w:rFonts w:eastAsia="SimSun" w:cs="Times New Roman"/>
          <w:noProof/>
          <w:sz w:val="20"/>
          <w:szCs w:val="20"/>
        </w:rPr>
        <w:lastRenderedPageBreak/>
        <w:drawing>
          <wp:inline distT="0" distB="0" distL="0" distR="0">
            <wp:extent cx="4438895" cy="2743200"/>
            <wp:effectExtent l="19050" t="0" r="0" b="0"/>
            <wp:docPr id="14" name="Picture 1" descr="G:\SKRIPSI\Skripsi Asli\Peta Sebaran (Warna Put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Skripsi Asli\Peta Sebaran (Warna Putih).jpg"/>
                    <pic:cNvPicPr>
                      <a:picLocks noChangeAspect="1" noChangeArrowheads="1"/>
                    </pic:cNvPicPr>
                  </pic:nvPicPr>
                  <pic:blipFill>
                    <a:blip r:embed="rId17" cstate="print"/>
                    <a:srcRect/>
                    <a:stretch>
                      <a:fillRect/>
                    </a:stretch>
                  </pic:blipFill>
                  <pic:spPr bwMode="auto">
                    <a:xfrm>
                      <a:off x="0" y="0"/>
                      <a:ext cx="4438895" cy="2743200"/>
                    </a:xfrm>
                    <a:prstGeom prst="rect">
                      <a:avLst/>
                    </a:prstGeom>
                    <a:noFill/>
                    <a:ln w="9525">
                      <a:noFill/>
                      <a:miter lim="800000"/>
                      <a:headEnd/>
                      <a:tailEnd/>
                    </a:ln>
                  </pic:spPr>
                </pic:pic>
              </a:graphicData>
            </a:graphic>
          </wp:inline>
        </w:drawing>
      </w:r>
    </w:p>
    <w:p w:rsidR="00AB3C16" w:rsidRDefault="00E372AD" w:rsidP="002054D6">
      <w:pPr>
        <w:spacing w:after="0" w:line="240" w:lineRule="auto"/>
        <w:jc w:val="center"/>
        <w:rPr>
          <w:rFonts w:eastAsia="SimSun" w:cs="Times New Roman"/>
          <w:sz w:val="20"/>
          <w:szCs w:val="20"/>
        </w:rPr>
      </w:pPr>
      <w:r w:rsidRPr="00E372AD">
        <w:rPr>
          <w:rFonts w:eastAsia="SimSun" w:cs="Times New Roman"/>
          <w:b/>
          <w:sz w:val="20"/>
          <w:szCs w:val="20"/>
        </w:rPr>
        <w:t>Fig.</w:t>
      </w:r>
      <w:r w:rsidR="00AB3C16" w:rsidRPr="00E372AD">
        <w:rPr>
          <w:rFonts w:eastAsia="SimSun" w:cs="Times New Roman"/>
          <w:b/>
          <w:sz w:val="20"/>
          <w:szCs w:val="20"/>
        </w:rPr>
        <w:t xml:space="preserve"> 2</w:t>
      </w:r>
      <w:r w:rsidR="00AB3C16" w:rsidRPr="00AB3C16">
        <w:rPr>
          <w:rFonts w:eastAsia="SimSun" w:cs="Times New Roman"/>
          <w:sz w:val="20"/>
          <w:szCs w:val="20"/>
        </w:rPr>
        <w:t>. Map of West Sumatra Province Earthquake Data Distribution.</w:t>
      </w:r>
    </w:p>
    <w:p w:rsidR="002054D6" w:rsidRDefault="002054D6">
      <w:pPr>
        <w:spacing w:after="0" w:line="240" w:lineRule="auto"/>
        <w:ind w:firstLine="426"/>
        <w:jc w:val="both"/>
        <w:rPr>
          <w:rFonts w:eastAsia="SimSun" w:cs="Times New Roman"/>
          <w:sz w:val="20"/>
          <w:szCs w:val="20"/>
        </w:rPr>
      </w:pP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Based on Figure 2, it can be seen that the province of West Sumatra has a fairly high level of seismicity. This is indicated by the number of earthquakes that occurred in the province of West Sumatra. Earthquakes marked</w:t>
      </w:r>
      <w:r w:rsidR="00E10BD5">
        <w:rPr>
          <w:rFonts w:eastAsia="SimSun" w:cs="Times New Roman"/>
          <w:sz w:val="20"/>
          <w:szCs w:val="20"/>
        </w:rPr>
        <w:t xml:space="preserve"> in red have a magnitude of 5.0-</w:t>
      </w:r>
      <w:r w:rsidRPr="00AB3C16">
        <w:rPr>
          <w:rFonts w:eastAsia="SimSun" w:cs="Times New Roman"/>
          <w:sz w:val="20"/>
          <w:szCs w:val="20"/>
        </w:rPr>
        <w:t>5.4, in</w:t>
      </w:r>
      <w:r w:rsidR="00E10BD5">
        <w:rPr>
          <w:rFonts w:eastAsia="SimSun" w:cs="Times New Roman"/>
          <w:sz w:val="20"/>
          <w:szCs w:val="20"/>
        </w:rPr>
        <w:t xml:space="preserve"> yellow with a magnitude of 5.5-</w:t>
      </w:r>
      <w:r w:rsidRPr="00AB3C16">
        <w:rPr>
          <w:rFonts w:eastAsia="SimSun" w:cs="Times New Roman"/>
          <w:sz w:val="20"/>
          <w:szCs w:val="20"/>
        </w:rPr>
        <w:t>6.2, and i</w:t>
      </w:r>
      <w:r w:rsidR="00E10BD5">
        <w:rPr>
          <w:rFonts w:eastAsia="SimSun" w:cs="Times New Roman"/>
          <w:sz w:val="20"/>
          <w:szCs w:val="20"/>
        </w:rPr>
        <w:t>n green with a magnitude of 6.4-</w:t>
      </w:r>
      <w:r w:rsidRPr="00AB3C16">
        <w:rPr>
          <w:rFonts w:eastAsia="SimSun" w:cs="Times New Roman"/>
          <w:sz w:val="20"/>
          <w:szCs w:val="20"/>
        </w:rPr>
        <w:t>7.9. After going through the processing process using calculations, in this study</w:t>
      </w:r>
      <w:r w:rsidR="0078468A">
        <w:rPr>
          <w:rFonts w:eastAsia="SimSun" w:cs="Times New Roman"/>
          <w:sz w:val="20"/>
          <w:szCs w:val="20"/>
        </w:rPr>
        <w:t>,</w:t>
      </w:r>
      <w:r w:rsidRPr="00AB3C16">
        <w:rPr>
          <w:rFonts w:eastAsia="SimSun" w:cs="Times New Roman"/>
          <w:sz w:val="20"/>
          <w:szCs w:val="20"/>
        </w:rPr>
        <w:t xml:space="preserve"> the results </w:t>
      </w:r>
      <w:r w:rsidR="0078468A">
        <w:rPr>
          <w:rFonts w:eastAsia="SimSun" w:cs="Times New Roman"/>
          <w:sz w:val="20"/>
          <w:szCs w:val="20"/>
        </w:rPr>
        <w:t xml:space="preserve">were </w:t>
      </w:r>
      <w:r w:rsidRPr="00AB3C16">
        <w:rPr>
          <w:rFonts w:eastAsia="SimSun" w:cs="Times New Roman"/>
          <w:sz w:val="20"/>
          <w:szCs w:val="20"/>
        </w:rPr>
        <w:t>obtained in</w:t>
      </w:r>
      <w:r w:rsidR="00795084">
        <w:rPr>
          <w:rFonts w:eastAsia="SimSun" w:cs="Times New Roman"/>
          <w:sz w:val="20"/>
          <w:szCs w:val="20"/>
        </w:rPr>
        <w:t xml:space="preserve"> the form of b-value and peak ground </w:t>
      </w:r>
      <w:r w:rsidR="00795084" w:rsidRPr="00AB3C16">
        <w:rPr>
          <w:rFonts w:eastAsia="SimSun" w:cs="Times New Roman"/>
          <w:sz w:val="20"/>
          <w:szCs w:val="20"/>
        </w:rPr>
        <w:t>acceleration</w:t>
      </w:r>
      <w:r w:rsidRPr="00AB3C16">
        <w:rPr>
          <w:rFonts w:eastAsia="SimSun" w:cs="Times New Roman"/>
          <w:sz w:val="20"/>
          <w:szCs w:val="20"/>
        </w:rPr>
        <w:t xml:space="preserve"> (PGA) as well as a map of the distribution of these two values.</w:t>
      </w: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The results of the b-value calculation using the maximum likelihood method can be seen in Table 1.</w:t>
      </w:r>
    </w:p>
    <w:p w:rsidR="006C5D54" w:rsidRDefault="006C5D54">
      <w:pPr>
        <w:spacing w:after="0" w:line="240" w:lineRule="auto"/>
        <w:ind w:firstLine="426"/>
        <w:jc w:val="both"/>
        <w:rPr>
          <w:rFonts w:eastAsia="SimSun" w:cs="Times New Roman"/>
          <w:sz w:val="20"/>
          <w:szCs w:val="20"/>
        </w:rPr>
      </w:pPr>
    </w:p>
    <w:p w:rsidR="00AB3C16" w:rsidRDefault="00AB3C16" w:rsidP="00111951">
      <w:pPr>
        <w:spacing w:after="0" w:line="240" w:lineRule="auto"/>
        <w:ind w:left="990" w:right="882"/>
        <w:jc w:val="center"/>
        <w:rPr>
          <w:rFonts w:eastAsia="SimSun" w:cs="Times New Roman"/>
          <w:sz w:val="20"/>
          <w:szCs w:val="20"/>
        </w:rPr>
      </w:pPr>
      <w:r w:rsidRPr="00AB3C16">
        <w:rPr>
          <w:rFonts w:eastAsia="SimSun" w:cs="Times New Roman"/>
          <w:b/>
          <w:sz w:val="20"/>
          <w:szCs w:val="20"/>
        </w:rPr>
        <w:t>Table 1.</w:t>
      </w:r>
      <w:r w:rsidR="001E2C30">
        <w:rPr>
          <w:rFonts w:eastAsia="SimSun" w:cs="Times New Roman"/>
          <w:b/>
          <w:sz w:val="20"/>
          <w:szCs w:val="20"/>
        </w:rPr>
        <w:t xml:space="preserve"> </w:t>
      </w:r>
      <w:r w:rsidR="00B83E7A">
        <w:rPr>
          <w:rFonts w:eastAsia="SimSun" w:cs="Times New Roman"/>
          <w:sz w:val="20"/>
          <w:szCs w:val="20"/>
        </w:rPr>
        <w:t>Result of b-value Calculation in each R</w:t>
      </w:r>
      <w:r w:rsidRPr="00AB3C16">
        <w:rPr>
          <w:rFonts w:eastAsia="SimSun" w:cs="Times New Roman"/>
          <w:sz w:val="20"/>
          <w:szCs w:val="20"/>
        </w:rPr>
        <w:t>egion.</w:t>
      </w:r>
    </w:p>
    <w:tbl>
      <w:tblPr>
        <w:tblW w:w="7216" w:type="dxa"/>
        <w:tblInd w:w="1098" w:type="dxa"/>
        <w:tblBorders>
          <w:top w:val="single" w:sz="4" w:space="0" w:color="000000"/>
          <w:bottom w:val="single" w:sz="4" w:space="0" w:color="000000"/>
          <w:insideH w:val="single" w:sz="4" w:space="0" w:color="000000"/>
        </w:tblBorders>
        <w:tblLayout w:type="fixed"/>
        <w:tblLook w:val="04A0"/>
      </w:tblPr>
      <w:tblGrid>
        <w:gridCol w:w="630"/>
        <w:gridCol w:w="1890"/>
        <w:gridCol w:w="990"/>
        <w:gridCol w:w="646"/>
        <w:gridCol w:w="720"/>
        <w:gridCol w:w="1170"/>
        <w:gridCol w:w="1170"/>
      </w:tblGrid>
      <w:tr w:rsidR="00024563" w:rsidRPr="006C5D54" w:rsidTr="00111951">
        <w:tc>
          <w:tcPr>
            <w:tcW w:w="630" w:type="dxa"/>
            <w:tcBorders>
              <w:bottom w:val="single" w:sz="4" w:space="0" w:color="000000"/>
            </w:tcBorders>
            <w:vAlign w:val="center"/>
          </w:tcPr>
          <w:p w:rsidR="00024563" w:rsidRPr="006C5D54" w:rsidRDefault="00024563" w:rsidP="00487570">
            <w:pPr>
              <w:spacing w:after="0" w:line="240" w:lineRule="auto"/>
              <w:jc w:val="center"/>
              <w:rPr>
                <w:b/>
                <w:sz w:val="20"/>
                <w:szCs w:val="20"/>
              </w:rPr>
            </w:pPr>
            <w:r w:rsidRPr="006C5D54">
              <w:rPr>
                <w:b/>
                <w:sz w:val="20"/>
                <w:szCs w:val="20"/>
              </w:rPr>
              <w:t>No.</w:t>
            </w:r>
          </w:p>
        </w:tc>
        <w:tc>
          <w:tcPr>
            <w:tcW w:w="1890" w:type="dxa"/>
            <w:tcBorders>
              <w:bottom w:val="single" w:sz="4" w:space="0" w:color="000000"/>
            </w:tcBorders>
            <w:vAlign w:val="center"/>
          </w:tcPr>
          <w:p w:rsidR="00024563" w:rsidRPr="006C5D54" w:rsidRDefault="00AB3C16" w:rsidP="00487570">
            <w:pPr>
              <w:spacing w:after="0" w:line="240" w:lineRule="auto"/>
              <w:jc w:val="center"/>
              <w:rPr>
                <w:b/>
                <w:sz w:val="20"/>
                <w:szCs w:val="20"/>
              </w:rPr>
            </w:pPr>
            <w:r>
              <w:rPr>
                <w:b/>
                <w:sz w:val="20"/>
                <w:szCs w:val="20"/>
              </w:rPr>
              <w:t>R</w:t>
            </w:r>
            <w:r w:rsidRPr="00AB3C16">
              <w:rPr>
                <w:b/>
                <w:sz w:val="20"/>
                <w:szCs w:val="20"/>
              </w:rPr>
              <w:t>egion</w:t>
            </w:r>
          </w:p>
        </w:tc>
        <w:tc>
          <w:tcPr>
            <w:tcW w:w="990" w:type="dxa"/>
            <w:tcBorders>
              <w:bottom w:val="single" w:sz="4" w:space="0" w:color="000000"/>
            </w:tcBorders>
            <w:vAlign w:val="center"/>
          </w:tcPr>
          <w:p w:rsidR="00024563" w:rsidRPr="006C5D54" w:rsidRDefault="00AB3C16" w:rsidP="00487570">
            <w:pPr>
              <w:spacing w:after="0" w:line="240" w:lineRule="auto"/>
              <w:jc w:val="center"/>
              <w:rPr>
                <w:b/>
                <w:sz w:val="20"/>
                <w:szCs w:val="20"/>
              </w:rPr>
            </w:pPr>
            <w:r>
              <w:rPr>
                <w:b/>
                <w:sz w:val="20"/>
                <w:szCs w:val="20"/>
              </w:rPr>
              <w:t xml:space="preserve">Total </w:t>
            </w:r>
            <w:proofErr w:type="spellStart"/>
            <w:r w:rsidR="00024563" w:rsidRPr="006C5D54">
              <w:rPr>
                <w:b/>
                <w:sz w:val="20"/>
                <w:szCs w:val="20"/>
              </w:rPr>
              <w:t>Mag</w:t>
            </w:r>
            <w:proofErr w:type="spellEnd"/>
          </w:p>
        </w:tc>
        <w:tc>
          <w:tcPr>
            <w:tcW w:w="646" w:type="dxa"/>
            <w:tcBorders>
              <w:bottom w:val="single" w:sz="4" w:space="0" w:color="000000"/>
            </w:tcBorders>
            <w:vAlign w:val="center"/>
          </w:tcPr>
          <w:p w:rsidR="00024563" w:rsidRPr="006C5D54" w:rsidRDefault="00024563" w:rsidP="00487570">
            <w:pPr>
              <w:spacing w:after="0" w:line="240" w:lineRule="auto"/>
              <w:jc w:val="center"/>
              <w:rPr>
                <w:b/>
                <w:sz w:val="20"/>
                <w:szCs w:val="20"/>
              </w:rPr>
            </w:pPr>
            <w:r w:rsidRPr="006C5D54">
              <w:rPr>
                <w:b/>
                <w:sz w:val="20"/>
                <w:szCs w:val="20"/>
              </w:rPr>
              <w:t>N</w:t>
            </w:r>
          </w:p>
        </w:tc>
        <w:tc>
          <w:tcPr>
            <w:tcW w:w="720" w:type="dxa"/>
            <w:tcBorders>
              <w:bottom w:val="single" w:sz="4" w:space="0" w:color="000000"/>
            </w:tcBorders>
            <w:vAlign w:val="center"/>
          </w:tcPr>
          <w:p w:rsidR="00024563" w:rsidRPr="006C5D54" w:rsidRDefault="00024563" w:rsidP="00487570">
            <w:pPr>
              <w:spacing w:after="0" w:line="240" w:lineRule="auto"/>
              <w:jc w:val="center"/>
              <w:rPr>
                <w:b/>
                <w:sz w:val="20"/>
                <w:szCs w:val="20"/>
              </w:rPr>
            </w:pPr>
            <w:r w:rsidRPr="006C5D54">
              <w:rPr>
                <w:b/>
                <w:sz w:val="20"/>
                <w:szCs w:val="20"/>
              </w:rPr>
              <w:t>M</w:t>
            </w:r>
            <w:r w:rsidRPr="006C5D54">
              <w:rPr>
                <w:b/>
                <w:sz w:val="20"/>
                <w:szCs w:val="20"/>
                <w:vertAlign w:val="subscript"/>
              </w:rPr>
              <w:t>0</w:t>
            </w:r>
          </w:p>
        </w:tc>
        <w:tc>
          <w:tcPr>
            <w:tcW w:w="1170" w:type="dxa"/>
            <w:tcBorders>
              <w:bottom w:val="single" w:sz="4" w:space="0" w:color="000000"/>
            </w:tcBorders>
            <w:vAlign w:val="center"/>
          </w:tcPr>
          <w:p w:rsidR="00024563" w:rsidRPr="006C5D54" w:rsidRDefault="00024563" w:rsidP="00487570">
            <w:pPr>
              <w:spacing w:after="0" w:line="240" w:lineRule="auto"/>
              <w:jc w:val="center"/>
              <w:rPr>
                <w:b/>
                <w:sz w:val="20"/>
                <w:szCs w:val="20"/>
              </w:rPr>
            </w:pPr>
            <w:r w:rsidRPr="006C5D54">
              <w:rPr>
                <w:b/>
                <w:sz w:val="20"/>
                <w:szCs w:val="20"/>
              </w:rPr>
              <w:t>M</w:t>
            </w:r>
            <w:r w:rsidR="00AB3C16">
              <w:rPr>
                <w:b/>
                <w:sz w:val="20"/>
                <w:szCs w:val="20"/>
                <w:vertAlign w:val="subscript"/>
              </w:rPr>
              <w:t xml:space="preserve"> </w:t>
            </w:r>
            <w:r w:rsidR="00AB3C16" w:rsidRPr="00AB3C16">
              <w:rPr>
                <w:b/>
                <w:sz w:val="20"/>
                <w:szCs w:val="20"/>
                <w:vertAlign w:val="subscript"/>
              </w:rPr>
              <w:t>average</w:t>
            </w:r>
          </w:p>
        </w:tc>
        <w:tc>
          <w:tcPr>
            <w:tcW w:w="1170" w:type="dxa"/>
            <w:tcBorders>
              <w:bottom w:val="single" w:sz="4" w:space="0" w:color="000000"/>
            </w:tcBorders>
            <w:vAlign w:val="center"/>
          </w:tcPr>
          <w:p w:rsidR="00AB3C16" w:rsidRPr="006C5D54" w:rsidRDefault="00AB3C16" w:rsidP="00487570">
            <w:pPr>
              <w:spacing w:after="0" w:line="240" w:lineRule="auto"/>
              <w:jc w:val="center"/>
              <w:rPr>
                <w:b/>
                <w:sz w:val="20"/>
                <w:szCs w:val="20"/>
              </w:rPr>
            </w:pPr>
            <w:r w:rsidRPr="00AB3C16">
              <w:rPr>
                <w:b/>
                <w:sz w:val="20"/>
                <w:szCs w:val="20"/>
              </w:rPr>
              <w:t>b</w:t>
            </w:r>
            <w:r>
              <w:rPr>
                <w:b/>
                <w:sz w:val="20"/>
                <w:szCs w:val="20"/>
              </w:rPr>
              <w:t>-value E</w:t>
            </w:r>
            <w:r w:rsidRPr="00AB3C16">
              <w:rPr>
                <w:b/>
                <w:sz w:val="20"/>
                <w:szCs w:val="20"/>
              </w:rPr>
              <w:t>stimate</w:t>
            </w:r>
          </w:p>
        </w:tc>
      </w:tr>
      <w:tr w:rsidR="00024563" w:rsidRPr="006C5D54" w:rsidTr="00111951">
        <w:tc>
          <w:tcPr>
            <w:tcW w:w="630" w:type="dxa"/>
            <w:tcBorders>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w:t>
            </w:r>
          </w:p>
        </w:tc>
        <w:tc>
          <w:tcPr>
            <w:tcW w:w="1890" w:type="dxa"/>
            <w:tcBorders>
              <w:bottom w:val="nil"/>
            </w:tcBorders>
          </w:tcPr>
          <w:p w:rsidR="00024563" w:rsidRPr="006C5D54" w:rsidRDefault="00AB3C16" w:rsidP="00487570">
            <w:pPr>
              <w:spacing w:after="0" w:line="240" w:lineRule="auto"/>
              <w:rPr>
                <w:sz w:val="20"/>
                <w:szCs w:val="20"/>
              </w:rPr>
            </w:pPr>
            <w:r>
              <w:rPr>
                <w:sz w:val="20"/>
                <w:szCs w:val="20"/>
              </w:rPr>
              <w:t>1°20' - 0°40' LU and</w:t>
            </w:r>
            <w:r w:rsidR="00024563" w:rsidRPr="006C5D54">
              <w:rPr>
                <w:sz w:val="20"/>
                <w:szCs w:val="20"/>
              </w:rPr>
              <w:t xml:space="preserve"> 98°10' - 102°10' BT</w:t>
            </w:r>
          </w:p>
        </w:tc>
        <w:tc>
          <w:tcPr>
            <w:tcW w:w="990" w:type="dxa"/>
            <w:tcBorders>
              <w:bottom w:val="nil"/>
            </w:tcBorders>
            <w:vAlign w:val="center"/>
          </w:tcPr>
          <w:p w:rsidR="00024563" w:rsidRPr="006C5D54" w:rsidRDefault="00024563" w:rsidP="00487570">
            <w:pPr>
              <w:spacing w:after="0" w:line="240" w:lineRule="auto"/>
              <w:jc w:val="center"/>
              <w:rPr>
                <w:bCs/>
                <w:color w:val="000000"/>
                <w:sz w:val="20"/>
                <w:szCs w:val="20"/>
              </w:rPr>
            </w:pPr>
            <w:r w:rsidRPr="006C5D54">
              <w:rPr>
                <w:bCs/>
                <w:color w:val="000000"/>
                <w:sz w:val="20"/>
                <w:szCs w:val="20"/>
              </w:rPr>
              <w:t>10.6</w:t>
            </w:r>
          </w:p>
        </w:tc>
        <w:tc>
          <w:tcPr>
            <w:tcW w:w="646" w:type="dxa"/>
            <w:tcBorders>
              <w:bottom w:val="nil"/>
            </w:tcBorders>
            <w:vAlign w:val="center"/>
          </w:tcPr>
          <w:p w:rsidR="00024563" w:rsidRPr="006C5D54" w:rsidRDefault="00024563" w:rsidP="00487570">
            <w:pPr>
              <w:spacing w:after="0" w:line="240" w:lineRule="auto"/>
              <w:jc w:val="center"/>
              <w:rPr>
                <w:bCs/>
                <w:color w:val="000000"/>
                <w:sz w:val="20"/>
                <w:szCs w:val="20"/>
              </w:rPr>
            </w:pPr>
            <w:r w:rsidRPr="006C5D54">
              <w:rPr>
                <w:bCs/>
                <w:color w:val="000000"/>
                <w:sz w:val="20"/>
                <w:szCs w:val="20"/>
              </w:rPr>
              <w:t>2</w:t>
            </w:r>
          </w:p>
        </w:tc>
        <w:tc>
          <w:tcPr>
            <w:tcW w:w="720" w:type="dxa"/>
            <w:tcBorders>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5.3</w:t>
            </w:r>
          </w:p>
        </w:tc>
        <w:tc>
          <w:tcPr>
            <w:tcW w:w="1170" w:type="dxa"/>
            <w:tcBorders>
              <w:bottom w:val="nil"/>
            </w:tcBorders>
            <w:vAlign w:val="center"/>
          </w:tcPr>
          <w:p w:rsidR="00024563" w:rsidRPr="006C5D54" w:rsidRDefault="00024563" w:rsidP="00487570">
            <w:pPr>
              <w:spacing w:after="0"/>
              <w:jc w:val="center"/>
              <w:rPr>
                <w:color w:val="000000"/>
                <w:sz w:val="20"/>
                <w:szCs w:val="20"/>
              </w:rPr>
            </w:pPr>
            <w:r w:rsidRPr="006C5D54">
              <w:rPr>
                <w:color w:val="000000"/>
                <w:sz w:val="20"/>
                <w:szCs w:val="20"/>
              </w:rPr>
              <w:t>1.2409</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2</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0°40' - 0°0' LU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21</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4</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5.25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1.4477</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3</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0°0' - 0°40' LS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101.4</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19</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5.34</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1.1227</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4</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0°40' - 1°20' LS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92.2</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17</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5.42</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0.9172</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1°20' - 2°0' LS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329</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62</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5.31</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1.2184</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6</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2°0' - 2°40' LS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382.6</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70</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5.47</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0.8421</w:t>
            </w:r>
          </w:p>
        </w:tc>
      </w:tr>
      <w:tr w:rsidR="00024563" w:rsidRPr="006C5D54" w:rsidTr="00111951">
        <w:tc>
          <w:tcPr>
            <w:tcW w:w="63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7</w:t>
            </w:r>
          </w:p>
        </w:tc>
        <w:tc>
          <w:tcPr>
            <w:tcW w:w="1890" w:type="dxa"/>
            <w:tcBorders>
              <w:top w:val="nil"/>
              <w:bottom w:val="nil"/>
            </w:tcBorders>
          </w:tcPr>
          <w:p w:rsidR="00024563" w:rsidRPr="006C5D54" w:rsidRDefault="00024563" w:rsidP="00487570">
            <w:pPr>
              <w:spacing w:after="0" w:line="240" w:lineRule="auto"/>
              <w:rPr>
                <w:sz w:val="20"/>
                <w:szCs w:val="20"/>
              </w:rPr>
            </w:pPr>
            <w:r w:rsidRPr="006C5D54">
              <w:rPr>
                <w:sz w:val="20"/>
                <w:szCs w:val="20"/>
              </w:rPr>
              <w:t xml:space="preserve">2°40' - 3°20' LS </w:t>
            </w:r>
            <w:r w:rsidR="00AB3C16">
              <w:rPr>
                <w:sz w:val="20"/>
                <w:szCs w:val="20"/>
              </w:rPr>
              <w:t>and</w:t>
            </w:r>
            <w:r w:rsidRPr="006C5D54">
              <w:rPr>
                <w:sz w:val="20"/>
                <w:szCs w:val="20"/>
              </w:rPr>
              <w:t xml:space="preserve"> 98°10' - 102°10' BT</w:t>
            </w:r>
          </w:p>
        </w:tc>
        <w:tc>
          <w:tcPr>
            <w:tcW w:w="99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438.4</w:t>
            </w:r>
          </w:p>
        </w:tc>
        <w:tc>
          <w:tcPr>
            <w:tcW w:w="646"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82</w:t>
            </w:r>
          </w:p>
        </w:tc>
        <w:tc>
          <w:tcPr>
            <w:tcW w:w="720" w:type="dxa"/>
            <w:tcBorders>
              <w:top w:val="nil"/>
              <w:bottom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5.35</w:t>
            </w:r>
          </w:p>
        </w:tc>
        <w:tc>
          <w:tcPr>
            <w:tcW w:w="1170" w:type="dxa"/>
            <w:tcBorders>
              <w:top w:val="nil"/>
              <w:bottom w:val="nil"/>
            </w:tcBorders>
            <w:vAlign w:val="center"/>
          </w:tcPr>
          <w:p w:rsidR="00024563" w:rsidRPr="006C5D54" w:rsidRDefault="00024563" w:rsidP="00487570">
            <w:pPr>
              <w:spacing w:after="0" w:line="240" w:lineRule="auto"/>
              <w:jc w:val="center"/>
              <w:rPr>
                <w:sz w:val="20"/>
                <w:szCs w:val="20"/>
              </w:rPr>
            </w:pPr>
            <w:r w:rsidRPr="006C5D54">
              <w:rPr>
                <w:sz w:val="20"/>
                <w:szCs w:val="20"/>
              </w:rPr>
              <w:t>1.0958</w:t>
            </w:r>
          </w:p>
        </w:tc>
      </w:tr>
      <w:tr w:rsidR="00024563" w:rsidRPr="006C5D54" w:rsidTr="00111951">
        <w:tc>
          <w:tcPr>
            <w:tcW w:w="630" w:type="dxa"/>
            <w:tcBorders>
              <w:top w:val="nil"/>
            </w:tcBorders>
            <w:vAlign w:val="center"/>
          </w:tcPr>
          <w:p w:rsidR="00024563" w:rsidRPr="006C5D54" w:rsidRDefault="00024563" w:rsidP="00487570">
            <w:pPr>
              <w:spacing w:after="0" w:line="240" w:lineRule="auto"/>
              <w:jc w:val="center"/>
              <w:rPr>
                <w:sz w:val="20"/>
                <w:szCs w:val="20"/>
              </w:rPr>
            </w:pPr>
            <w:r w:rsidRPr="006C5D54">
              <w:rPr>
                <w:sz w:val="20"/>
                <w:szCs w:val="20"/>
              </w:rPr>
              <w:t>8</w:t>
            </w:r>
          </w:p>
        </w:tc>
        <w:tc>
          <w:tcPr>
            <w:tcW w:w="1890" w:type="dxa"/>
            <w:tcBorders>
              <w:top w:val="nil"/>
            </w:tcBorders>
          </w:tcPr>
          <w:p w:rsidR="00024563" w:rsidRPr="006C5D54" w:rsidRDefault="00024563" w:rsidP="00487570">
            <w:pPr>
              <w:spacing w:after="0" w:line="240" w:lineRule="auto"/>
              <w:rPr>
                <w:sz w:val="20"/>
                <w:szCs w:val="20"/>
              </w:rPr>
            </w:pPr>
            <w:r w:rsidRPr="006C5D54">
              <w:rPr>
                <w:sz w:val="20"/>
                <w:szCs w:val="20"/>
              </w:rPr>
              <w:t xml:space="preserve">3°20' - 3°50' LS </w:t>
            </w:r>
            <w:r w:rsidR="00AB3C16">
              <w:rPr>
                <w:sz w:val="20"/>
                <w:szCs w:val="20"/>
              </w:rPr>
              <w:t>and</w:t>
            </w:r>
            <w:r w:rsidRPr="006C5D54">
              <w:rPr>
                <w:sz w:val="20"/>
                <w:szCs w:val="20"/>
              </w:rPr>
              <w:t xml:space="preserve"> 98°10' - 102°10' BT</w:t>
            </w:r>
          </w:p>
        </w:tc>
        <w:tc>
          <w:tcPr>
            <w:tcW w:w="990" w:type="dxa"/>
            <w:tcBorders>
              <w:top w:val="nil"/>
            </w:tcBorders>
            <w:vAlign w:val="center"/>
          </w:tcPr>
          <w:p w:rsidR="00024563" w:rsidRPr="006C5D54" w:rsidRDefault="00024563" w:rsidP="00487570">
            <w:pPr>
              <w:spacing w:after="0" w:line="240" w:lineRule="auto"/>
              <w:jc w:val="center"/>
              <w:rPr>
                <w:sz w:val="20"/>
                <w:szCs w:val="20"/>
              </w:rPr>
            </w:pPr>
            <w:r w:rsidRPr="006C5D54">
              <w:rPr>
                <w:sz w:val="20"/>
                <w:szCs w:val="20"/>
              </w:rPr>
              <w:t>101.1</w:t>
            </w:r>
          </w:p>
        </w:tc>
        <w:tc>
          <w:tcPr>
            <w:tcW w:w="646" w:type="dxa"/>
            <w:tcBorders>
              <w:top w:val="nil"/>
            </w:tcBorders>
            <w:vAlign w:val="center"/>
          </w:tcPr>
          <w:p w:rsidR="00024563" w:rsidRPr="006C5D54" w:rsidRDefault="00024563" w:rsidP="00487570">
            <w:pPr>
              <w:spacing w:after="0" w:line="240" w:lineRule="auto"/>
              <w:jc w:val="center"/>
              <w:rPr>
                <w:sz w:val="20"/>
                <w:szCs w:val="20"/>
              </w:rPr>
            </w:pPr>
            <w:r w:rsidRPr="006C5D54">
              <w:rPr>
                <w:sz w:val="20"/>
                <w:szCs w:val="20"/>
              </w:rPr>
              <w:t>19</w:t>
            </w:r>
          </w:p>
        </w:tc>
        <w:tc>
          <w:tcPr>
            <w:tcW w:w="720" w:type="dxa"/>
            <w:tcBorders>
              <w:top w:val="nil"/>
            </w:tcBorders>
            <w:vAlign w:val="center"/>
          </w:tcPr>
          <w:p w:rsidR="00024563" w:rsidRPr="006C5D54" w:rsidRDefault="00024563" w:rsidP="00487570">
            <w:pPr>
              <w:spacing w:after="0" w:line="240" w:lineRule="auto"/>
              <w:jc w:val="center"/>
              <w:rPr>
                <w:color w:val="000000"/>
                <w:sz w:val="20"/>
                <w:szCs w:val="20"/>
              </w:rPr>
            </w:pPr>
            <w:r w:rsidRPr="006C5D54">
              <w:rPr>
                <w:color w:val="000000"/>
                <w:sz w:val="20"/>
                <w:szCs w:val="20"/>
              </w:rPr>
              <w:t>4.95</w:t>
            </w:r>
          </w:p>
        </w:tc>
        <w:tc>
          <w:tcPr>
            <w:tcW w:w="1170" w:type="dxa"/>
            <w:tcBorders>
              <w:top w:val="nil"/>
            </w:tcBorders>
            <w:vAlign w:val="center"/>
          </w:tcPr>
          <w:p w:rsidR="00024563" w:rsidRPr="006C5D54" w:rsidRDefault="00024563" w:rsidP="00487570">
            <w:pPr>
              <w:spacing w:after="0" w:line="240" w:lineRule="auto"/>
              <w:jc w:val="center"/>
              <w:rPr>
                <w:sz w:val="20"/>
                <w:szCs w:val="20"/>
              </w:rPr>
            </w:pPr>
            <w:r w:rsidRPr="006C5D54">
              <w:rPr>
                <w:sz w:val="20"/>
                <w:szCs w:val="20"/>
              </w:rPr>
              <w:t>5.32</w:t>
            </w:r>
          </w:p>
        </w:tc>
        <w:tc>
          <w:tcPr>
            <w:tcW w:w="1170" w:type="dxa"/>
            <w:tcBorders>
              <w:top w:val="nil"/>
            </w:tcBorders>
            <w:vAlign w:val="center"/>
          </w:tcPr>
          <w:p w:rsidR="00024563" w:rsidRPr="006C5D54" w:rsidRDefault="00024563" w:rsidP="00487570">
            <w:pPr>
              <w:spacing w:after="0" w:line="240" w:lineRule="auto"/>
              <w:jc w:val="center"/>
              <w:rPr>
                <w:sz w:val="20"/>
                <w:szCs w:val="20"/>
              </w:rPr>
            </w:pPr>
            <w:r w:rsidRPr="006C5D54">
              <w:rPr>
                <w:sz w:val="20"/>
                <w:szCs w:val="20"/>
              </w:rPr>
              <w:t>1.1705</w:t>
            </w:r>
          </w:p>
        </w:tc>
      </w:tr>
    </w:tbl>
    <w:p w:rsidR="008C224B" w:rsidRDefault="008C224B">
      <w:pPr>
        <w:spacing w:after="0" w:line="240" w:lineRule="auto"/>
        <w:ind w:firstLine="426"/>
        <w:jc w:val="both"/>
        <w:rPr>
          <w:rFonts w:eastAsia="SimSun" w:cs="Times New Roman"/>
          <w:sz w:val="20"/>
          <w:szCs w:val="20"/>
        </w:rPr>
      </w:pP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 xml:space="preserve">Based on the results of the calculations in Table 1, the b-values for 275 earthquake events with a magnitude </w:t>
      </w:r>
      <w:r w:rsidR="00052CAD" w:rsidRPr="00052CAD">
        <w:rPr>
          <w:rStyle w:val="Style2"/>
          <w:rFonts w:cs="Times New Roman"/>
          <w:iCs/>
          <w:szCs w:val="20"/>
        </w:rPr>
        <w:t>≥</w:t>
      </w:r>
      <w:r w:rsidR="00052CAD">
        <w:rPr>
          <w:rStyle w:val="Style2"/>
          <w:rFonts w:cs="Times New Roman"/>
          <w:i/>
          <w:iCs/>
          <w:szCs w:val="20"/>
        </w:rPr>
        <w:t xml:space="preserve"> </w:t>
      </w:r>
      <w:r w:rsidRPr="00AB3C16">
        <w:rPr>
          <w:rFonts w:eastAsia="SimSun" w:cs="Times New Roman"/>
          <w:sz w:val="20"/>
          <w:szCs w:val="20"/>
        </w:rPr>
        <w:t xml:space="preserve">5 SR and a depth of </w:t>
      </w:r>
      <w:r w:rsidR="00052CAD" w:rsidRPr="00052CAD">
        <w:rPr>
          <w:rFonts w:eastAsia="SimSun" w:cs="Times New Roman"/>
          <w:sz w:val="20"/>
          <w:szCs w:val="20"/>
        </w:rPr>
        <w:t>≤</w:t>
      </w:r>
      <w:r w:rsidR="00052CAD">
        <w:rPr>
          <w:rFonts w:eastAsia="SimSun" w:cs="Times New Roman"/>
          <w:sz w:val="20"/>
          <w:szCs w:val="20"/>
        </w:rPr>
        <w:t xml:space="preserve"> </w:t>
      </w:r>
      <w:r w:rsidRPr="00AB3C16">
        <w:rPr>
          <w:rFonts w:eastAsia="SimSun" w:cs="Times New Roman"/>
          <w:sz w:val="20"/>
          <w:szCs w:val="20"/>
        </w:rPr>
        <w:t>100 km in</w:t>
      </w:r>
      <w:r w:rsidR="00E10BD5">
        <w:rPr>
          <w:rFonts w:eastAsia="SimSun" w:cs="Times New Roman"/>
          <w:sz w:val="20"/>
          <w:szCs w:val="20"/>
        </w:rPr>
        <w:t xml:space="preserve"> each region ranged from 0.8421-</w:t>
      </w:r>
      <w:r w:rsidRPr="00AB3C16">
        <w:rPr>
          <w:rFonts w:eastAsia="SimSun" w:cs="Times New Roman"/>
          <w:sz w:val="20"/>
          <w:szCs w:val="20"/>
        </w:rPr>
        <w:t>1.4477. The</w:t>
      </w:r>
      <w:r w:rsidR="0078468A">
        <w:rPr>
          <w:rFonts w:eastAsia="SimSun" w:cs="Times New Roman"/>
          <w:sz w:val="20"/>
          <w:szCs w:val="20"/>
        </w:rPr>
        <w:t xml:space="preserve"> b-value distribution map is </w:t>
      </w:r>
      <w:r w:rsidRPr="00AB3C16">
        <w:rPr>
          <w:rFonts w:eastAsia="SimSun" w:cs="Times New Roman"/>
          <w:sz w:val="20"/>
          <w:szCs w:val="20"/>
        </w:rPr>
        <w:t>shown in Figure 3 below.</w:t>
      </w:r>
    </w:p>
    <w:p w:rsidR="008C224B" w:rsidRDefault="008C224B">
      <w:pPr>
        <w:spacing w:after="0" w:line="240" w:lineRule="auto"/>
        <w:ind w:firstLine="426"/>
        <w:jc w:val="both"/>
        <w:rPr>
          <w:rFonts w:eastAsia="SimSun" w:cs="Times New Roman"/>
          <w:sz w:val="20"/>
          <w:szCs w:val="20"/>
        </w:rPr>
      </w:pPr>
    </w:p>
    <w:p w:rsidR="006C5D54" w:rsidRDefault="006C5D54" w:rsidP="006C5D54">
      <w:pPr>
        <w:spacing w:after="0" w:line="240" w:lineRule="auto"/>
        <w:jc w:val="center"/>
        <w:rPr>
          <w:rFonts w:eastAsia="SimSun" w:cs="Times New Roman"/>
          <w:sz w:val="20"/>
          <w:szCs w:val="20"/>
        </w:rPr>
      </w:pPr>
      <w:r w:rsidRPr="006C5D54">
        <w:rPr>
          <w:rFonts w:eastAsia="SimSun" w:cs="Times New Roman"/>
          <w:noProof/>
          <w:sz w:val="20"/>
          <w:szCs w:val="20"/>
        </w:rPr>
        <w:lastRenderedPageBreak/>
        <w:drawing>
          <wp:inline distT="0" distB="0" distL="0" distR="0">
            <wp:extent cx="4434840" cy="2849488"/>
            <wp:effectExtent l="19050" t="0" r="3810" b="0"/>
            <wp:docPr id="12" name="Picture 1" descr="G:\SKRIPSI\Skripsi Asli\B FI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RIPSI\Skripsi Asli\B FINISH.jpg"/>
                    <pic:cNvPicPr>
                      <a:picLocks noChangeAspect="1" noChangeArrowheads="1"/>
                    </pic:cNvPicPr>
                  </pic:nvPicPr>
                  <pic:blipFill>
                    <a:blip r:embed="rId18" cstate="print"/>
                    <a:srcRect/>
                    <a:stretch>
                      <a:fillRect/>
                    </a:stretch>
                  </pic:blipFill>
                  <pic:spPr bwMode="auto">
                    <a:xfrm>
                      <a:off x="0" y="0"/>
                      <a:ext cx="4434840" cy="2849488"/>
                    </a:xfrm>
                    <a:prstGeom prst="rect">
                      <a:avLst/>
                    </a:prstGeom>
                    <a:noFill/>
                    <a:ln w="9525">
                      <a:noFill/>
                      <a:miter lim="800000"/>
                      <a:headEnd/>
                      <a:tailEnd/>
                    </a:ln>
                  </pic:spPr>
                </pic:pic>
              </a:graphicData>
            </a:graphic>
          </wp:inline>
        </w:drawing>
      </w:r>
    </w:p>
    <w:p w:rsidR="00AB3C16" w:rsidRDefault="00E372AD" w:rsidP="006C5D54">
      <w:pPr>
        <w:spacing w:after="0" w:line="240" w:lineRule="auto"/>
        <w:jc w:val="center"/>
        <w:rPr>
          <w:rFonts w:eastAsia="SimSun" w:cs="Times New Roman"/>
          <w:sz w:val="20"/>
          <w:szCs w:val="20"/>
        </w:rPr>
      </w:pPr>
      <w:r w:rsidRPr="00E372AD">
        <w:rPr>
          <w:rFonts w:eastAsia="SimSun" w:cs="Times New Roman"/>
          <w:b/>
          <w:sz w:val="20"/>
          <w:szCs w:val="20"/>
        </w:rPr>
        <w:t>Fig.</w:t>
      </w:r>
      <w:r w:rsidR="00AB3C16" w:rsidRPr="00E372AD">
        <w:rPr>
          <w:rFonts w:eastAsia="SimSun" w:cs="Times New Roman"/>
          <w:b/>
          <w:sz w:val="20"/>
          <w:szCs w:val="20"/>
        </w:rPr>
        <w:t xml:space="preserve"> 3</w:t>
      </w:r>
      <w:r w:rsidR="00AB3C16" w:rsidRPr="00AB3C16">
        <w:rPr>
          <w:rFonts w:eastAsia="SimSun" w:cs="Times New Roman"/>
          <w:sz w:val="20"/>
          <w:szCs w:val="20"/>
        </w:rPr>
        <w:t>.</w:t>
      </w:r>
      <w:r w:rsidR="00B83E7A">
        <w:rPr>
          <w:rFonts w:eastAsia="SimSun" w:cs="Times New Roman"/>
          <w:sz w:val="20"/>
          <w:szCs w:val="20"/>
        </w:rPr>
        <w:t xml:space="preserve"> Map of b-value D</w:t>
      </w:r>
      <w:r w:rsidR="00AB3C16" w:rsidRPr="00AB3C16">
        <w:rPr>
          <w:rFonts w:eastAsia="SimSun" w:cs="Times New Roman"/>
          <w:sz w:val="20"/>
          <w:szCs w:val="20"/>
        </w:rPr>
        <w:t>istribution in West Sumatra Province.</w:t>
      </w:r>
    </w:p>
    <w:p w:rsidR="006C5D54" w:rsidRDefault="006C5D54">
      <w:pPr>
        <w:spacing w:after="0" w:line="240" w:lineRule="auto"/>
        <w:ind w:firstLine="426"/>
        <w:jc w:val="both"/>
        <w:rPr>
          <w:rFonts w:eastAsia="SimSun" w:cs="Times New Roman"/>
          <w:sz w:val="20"/>
          <w:szCs w:val="20"/>
        </w:rPr>
      </w:pP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Figure 3 shows the b-value distribution in the province of West Sumatr</w:t>
      </w:r>
      <w:r w:rsidR="00E10BD5">
        <w:rPr>
          <w:rFonts w:eastAsia="SimSun" w:cs="Times New Roman"/>
          <w:sz w:val="20"/>
          <w:szCs w:val="20"/>
        </w:rPr>
        <w:t>a with coordinates 3º 50' S - 1º 20' N</w:t>
      </w:r>
      <w:r w:rsidRPr="00AB3C16">
        <w:rPr>
          <w:rFonts w:eastAsia="SimSun" w:cs="Times New Roman"/>
          <w:sz w:val="20"/>
          <w:szCs w:val="20"/>
        </w:rPr>
        <w:t xml:space="preserve"> and </w:t>
      </w:r>
      <w:r w:rsidR="00E10BD5">
        <w:rPr>
          <w:rFonts w:eastAsia="SimSun" w:cs="Times New Roman"/>
          <w:sz w:val="20"/>
          <w:szCs w:val="20"/>
        </w:rPr>
        <w:t>98 10' - 102º 10' E</w:t>
      </w:r>
      <w:r w:rsidRPr="00AB3C16">
        <w:rPr>
          <w:rFonts w:eastAsia="SimSun" w:cs="Times New Roman"/>
          <w:sz w:val="20"/>
          <w:szCs w:val="20"/>
        </w:rPr>
        <w:t xml:space="preserve">. Based on the b-value distribution map, the area that has the smallest b-value is in region 6, while the largest value is in region 2. B-value is one of the parameters of tectonic conditions in an area where an earthquake occurs and depends on the nature of local rocks and the level of </w:t>
      </w:r>
      <w:r w:rsidR="002F2D37">
        <w:rPr>
          <w:rFonts w:eastAsia="SimSun" w:cs="Times New Roman"/>
          <w:sz w:val="20"/>
          <w:szCs w:val="20"/>
        </w:rPr>
        <w:t xml:space="preserve">the </w:t>
      </w:r>
      <w:r w:rsidRPr="00AB3C16">
        <w:rPr>
          <w:rFonts w:eastAsia="SimSun" w:cs="Times New Roman"/>
          <w:sz w:val="20"/>
          <w:szCs w:val="20"/>
        </w:rPr>
        <w:t>brittleness of the rock. B-value also reflects tectonic conditions related to rock stress in an area. A hig</w:t>
      </w:r>
      <w:r w:rsidR="00E10BD5">
        <w:rPr>
          <w:rFonts w:eastAsia="SimSun" w:cs="Times New Roman"/>
          <w:sz w:val="20"/>
          <w:szCs w:val="20"/>
        </w:rPr>
        <w:t>h b</w:t>
      </w:r>
      <w:r w:rsidRPr="00AB3C16">
        <w:rPr>
          <w:rFonts w:eastAsia="SimSun" w:cs="Times New Roman"/>
          <w:sz w:val="20"/>
          <w:szCs w:val="20"/>
        </w:rPr>
        <w:t>-value correlates with low rock stress conditions, meaning that the rock's resistance to stress is small and has a high heterogeneity of medium conditions, but a low b-value correlates with high rock stress conditions, meaning that the rock's resistance to stress is large and has low heterogeneity. [7][10].</w:t>
      </w: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Deformation or changes in the shape and dimensions of rocks occur due to stress and strain in the earth's layers. The movement of tectonic plates causes strain to occur. The rock strain will continue to increase or accumulate over time until the maximum rock stress is exceeded so that the bearing capacity of the rock will reach its maximum limit and eventually cause sudden fractures or fractures. The accumulated energy is released causing a sudden movement that is an earthquake.</w:t>
      </w: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Low rock stress conditions will have a high level of rock fragility. The speed of propagation of seismic waves that propagate in rocks that are not dense or with a high level of rock fragility is greater than that of rocks that have a low level of rock fragility. As a result, the accumulation of energy in the earth is relatively fast or the time it takes to accumulate rock strain until the maximum rock stress is fast, so that the accumulation of energy produced is smaller and results in the possibility of an earthquake with a low level of seismicity. Then the condition of high rock stress will have a low level of rock fragility, meaning that the speed of seismic wave propagation in dense rock is smaller than that of rocks that have a high level of rock fragility. As a result, the accumulation of energy in the earth is relatively long or the length of time for the accumulation of rock strain until the maximum rock stress is slow, so that the accumulation of energy produced will also be greater and result in a great chance of a large earthquake with a high level of seismicity. Based on the results of the calculation, area 6 is an area that has a great chance of a major earthquake occurring. When viewed from the number of earthquakes, this region has a fairly large frequency of earthquakes compared to other regions. Therefore, the b-value in this study depends on the seismic activity in the study area.</w:t>
      </w:r>
    </w:p>
    <w:p w:rsidR="00AB3C16" w:rsidRDefault="00AB3C16">
      <w:pPr>
        <w:spacing w:after="0" w:line="240" w:lineRule="auto"/>
        <w:ind w:firstLine="426"/>
        <w:jc w:val="both"/>
        <w:rPr>
          <w:rFonts w:eastAsia="SimSun" w:cs="Times New Roman"/>
          <w:sz w:val="20"/>
          <w:szCs w:val="20"/>
        </w:rPr>
      </w:pPr>
      <w:r w:rsidRPr="00AB3C16">
        <w:rPr>
          <w:rFonts w:eastAsia="SimSun" w:cs="Times New Roman"/>
          <w:sz w:val="20"/>
          <w:szCs w:val="20"/>
        </w:rPr>
        <w:t>The level of seismic activity can be deter</w:t>
      </w:r>
      <w:r w:rsidR="00B83E7A">
        <w:rPr>
          <w:rFonts w:eastAsia="SimSun" w:cs="Times New Roman"/>
          <w:sz w:val="20"/>
          <w:szCs w:val="20"/>
        </w:rPr>
        <w:t>mined by calculating the peak</w:t>
      </w:r>
      <w:r w:rsidRPr="00AB3C16">
        <w:rPr>
          <w:rFonts w:eastAsia="SimSun" w:cs="Times New Roman"/>
          <w:sz w:val="20"/>
          <w:szCs w:val="20"/>
        </w:rPr>
        <w:t xml:space="preserve"> ground acceleration value</w:t>
      </w:r>
      <w:r w:rsidR="00B83E7A">
        <w:rPr>
          <w:rFonts w:eastAsia="SimSun" w:cs="Times New Roman"/>
          <w:sz w:val="20"/>
          <w:szCs w:val="20"/>
        </w:rPr>
        <w:t>. The calculation of the peak</w:t>
      </w:r>
      <w:r w:rsidRPr="00AB3C16">
        <w:rPr>
          <w:rFonts w:eastAsia="SimSun" w:cs="Times New Roman"/>
          <w:sz w:val="20"/>
          <w:szCs w:val="20"/>
        </w:rPr>
        <w:t xml:space="preserve"> ground acceleration value in this study uses an empirical formula model that is sought by using the Gaussian elimination application in the Inversion Problem. The empirical formula model obtained is</w:t>
      </w:r>
    </w:p>
    <w:p w:rsidR="00F911AA" w:rsidRDefault="00F911AA">
      <w:pPr>
        <w:spacing w:after="0" w:line="240" w:lineRule="auto"/>
        <w:ind w:firstLine="426"/>
        <w:jc w:val="both"/>
        <w:rPr>
          <w:rFonts w:eastAsia="SimSun" w:cs="Times New Roman"/>
          <w:sz w:val="20"/>
          <w:szCs w:val="20"/>
        </w:rPr>
      </w:pPr>
    </w:p>
    <w:p w:rsidR="007E11ED" w:rsidRDefault="00E76463" w:rsidP="007E11ED">
      <w:pPr>
        <w:spacing w:after="0" w:line="240" w:lineRule="auto"/>
        <w:ind w:left="2070"/>
        <w:jc w:val="both"/>
        <w:rPr>
          <w:rFonts w:eastAsia="SimSun" w:cs="Times New Roman"/>
          <w:sz w:val="20"/>
          <w:szCs w:val="20"/>
        </w:rPr>
      </w:pPr>
      <m:oMath>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α</m:t>
            </m:r>
            <m:r>
              <m:rPr>
                <m:sty m:val="p"/>
              </m:rPr>
              <w:rPr>
                <w:rFonts w:ascii="Cambria Math"/>
                <w:sz w:val="20"/>
                <w:szCs w:val="20"/>
              </w:rPr>
              <m:t>=</m:t>
            </m:r>
            <m:r>
              <m:rPr>
                <m:sty m:val="p"/>
              </m:rPr>
              <w:rPr>
                <w:rFonts w:ascii="Cambria Math" w:hAnsi="Cambria Math"/>
                <w:sz w:val="20"/>
                <w:szCs w:val="20"/>
              </w:rPr>
              <m:t>-1.20543</m:t>
            </m:r>
            <m:func>
              <m:funcPr>
                <m:ctrlPr>
                  <w:rPr>
                    <w:rFonts w:ascii="Cambria Math" w:hAnsi="Cambria Math" w:cs="Cambria Math"/>
                    <w:i/>
                    <w:sz w:val="20"/>
                    <w:szCs w:val="20"/>
                  </w:rPr>
                </m:ctrlPr>
              </m:funcPr>
              <m:fName>
                <m:r>
                  <m:rPr>
                    <m:sty m:val="p"/>
                  </m:rPr>
                  <w:rPr>
                    <w:rFonts w:ascii="Cambria Math"/>
                    <w:sz w:val="20"/>
                    <w:szCs w:val="20"/>
                  </w:rPr>
                  <m:t xml:space="preserve"> log</m:t>
                </m:r>
                <m:ctrlPr>
                  <w:rPr>
                    <w:rFonts w:ascii="Cambria Math" w:hAnsi="Cambria Math"/>
                    <w:i/>
                    <w:sz w:val="20"/>
                    <w:szCs w:val="20"/>
                  </w:rPr>
                </m:ctrlPr>
              </m:fName>
              <m:e>
                <m:r>
                  <w:rPr>
                    <w:rFonts w:ascii="Cambria Math"/>
                    <w:sz w:val="20"/>
                    <w:szCs w:val="20"/>
                  </w:rPr>
                  <m:t>R+</m:t>
                </m:r>
                <m:r>
                  <m:rPr>
                    <m:sty m:val="p"/>
                  </m:rPr>
                  <w:rPr>
                    <w:rFonts w:ascii="Cambria Math" w:hAnsi="Cambria Math"/>
                    <w:sz w:val="20"/>
                    <w:szCs w:val="20"/>
                  </w:rPr>
                  <m:t>-0.839093</m:t>
                </m:r>
                <m:r>
                  <m:rPr>
                    <m:sty m:val="p"/>
                  </m:rPr>
                  <w:rPr>
                    <w:rFonts w:ascii="Cambria Math"/>
                    <w:sz w:val="20"/>
                    <w:szCs w:val="20"/>
                  </w:rPr>
                  <m:t xml:space="preserve"> </m:t>
                </m:r>
                <m:r>
                  <w:rPr>
                    <w:rFonts w:ascii="Cambria Math"/>
                    <w:sz w:val="20"/>
                    <w:szCs w:val="20"/>
                  </w:rPr>
                  <m:t>M+</m:t>
                </m:r>
                <m:r>
                  <m:rPr>
                    <m:sty m:val="p"/>
                  </m:rPr>
                  <w:rPr>
                    <w:rFonts w:ascii="Cambria Math" w:hAnsi="Cambria Math"/>
                    <w:sz w:val="20"/>
                    <w:szCs w:val="20"/>
                  </w:rPr>
                  <m:t>6.88858</m:t>
                </m:r>
                <m:ctrlPr>
                  <w:rPr>
                    <w:rFonts w:ascii="Cambria Math" w:hAnsi="Cambria Math"/>
                    <w:i/>
                    <w:sz w:val="20"/>
                    <w:szCs w:val="20"/>
                  </w:rPr>
                </m:ctrlPr>
              </m:e>
            </m:func>
          </m:e>
        </m:func>
      </m:oMath>
      <w:r w:rsidR="007E11ED">
        <w:rPr>
          <w:rFonts w:eastAsia="SimSun" w:cs="Times New Roman"/>
          <w:sz w:val="20"/>
          <w:szCs w:val="20"/>
        </w:rPr>
        <w:t xml:space="preserve"> </w:t>
      </w:r>
      <w:r w:rsidR="007E11ED">
        <w:rPr>
          <w:rFonts w:eastAsia="SimSun" w:cs="Times New Roman"/>
          <w:sz w:val="20"/>
          <w:szCs w:val="20"/>
        </w:rPr>
        <w:tab/>
      </w:r>
      <w:r w:rsidR="007E11ED">
        <w:rPr>
          <w:rFonts w:eastAsia="SimSun" w:cs="Times New Roman"/>
          <w:sz w:val="20"/>
          <w:szCs w:val="20"/>
        </w:rPr>
        <w:tab/>
      </w:r>
      <w:r w:rsidR="007E11ED">
        <w:rPr>
          <w:rFonts w:eastAsia="SimSun" w:cs="Times New Roman"/>
          <w:sz w:val="20"/>
          <w:szCs w:val="20"/>
        </w:rPr>
        <w:tab/>
        <w:t>(8)</w:t>
      </w:r>
    </w:p>
    <w:p w:rsidR="00F911AA" w:rsidRDefault="00F911AA" w:rsidP="007E11ED">
      <w:pPr>
        <w:spacing w:after="0" w:line="240" w:lineRule="auto"/>
        <w:ind w:left="2070"/>
        <w:jc w:val="both"/>
        <w:rPr>
          <w:rFonts w:eastAsia="SimSun" w:cs="Times New Roman"/>
          <w:sz w:val="20"/>
          <w:szCs w:val="20"/>
        </w:rPr>
      </w:pPr>
    </w:p>
    <w:p w:rsidR="00AB3C16" w:rsidRDefault="002F2D37" w:rsidP="00F911AA">
      <w:pPr>
        <w:pStyle w:val="IJASEITParagraph"/>
        <w:spacing w:after="0" w:line="260" w:lineRule="auto"/>
        <w:ind w:firstLine="0"/>
      </w:pPr>
      <w:r>
        <w:t>where</w:t>
      </w:r>
      <w:r w:rsidR="00AB3C16" w:rsidRPr="00AB3C16">
        <w:t xml:space="preserve"> </w:t>
      </w:r>
      <w:r w:rsidR="00E51AB8" w:rsidRPr="00E51AB8">
        <w:rPr>
          <w:rFonts w:cs="Times New Roman"/>
          <w:i/>
        </w:rPr>
        <w:t>α</w:t>
      </w:r>
      <w:r w:rsidR="00E51AB8">
        <w:t xml:space="preserve"> </w:t>
      </w:r>
      <w:r w:rsidR="00B83E7A">
        <w:t xml:space="preserve">is the peak </w:t>
      </w:r>
      <w:r w:rsidR="00AB3C16" w:rsidRPr="00AB3C16">
        <w:t xml:space="preserve">ground acceleration (gal), </w:t>
      </w:r>
      <w:r w:rsidR="00AB3C16" w:rsidRPr="00B83E7A">
        <w:rPr>
          <w:i/>
        </w:rPr>
        <w:t>M</w:t>
      </w:r>
      <w:r w:rsidR="00AB3C16" w:rsidRPr="00AB3C16">
        <w:t xml:space="preserve"> is the magnitude, and </w:t>
      </w:r>
      <w:r w:rsidR="00AB3C16" w:rsidRPr="00B83E7A">
        <w:rPr>
          <w:i/>
        </w:rPr>
        <w:t>R</w:t>
      </w:r>
      <w:r w:rsidR="00AB3C16" w:rsidRPr="00AB3C16">
        <w:t xml:space="preserve"> is the distance to the hypocenter (km).</w:t>
      </w:r>
    </w:p>
    <w:p w:rsidR="00E51AB8" w:rsidRDefault="00E51AB8">
      <w:pPr>
        <w:spacing w:after="0" w:line="240" w:lineRule="auto"/>
        <w:ind w:firstLine="426"/>
        <w:jc w:val="both"/>
        <w:rPr>
          <w:rFonts w:eastAsia="SimSun" w:cs="Times New Roman"/>
          <w:sz w:val="20"/>
          <w:szCs w:val="20"/>
        </w:rPr>
      </w:pPr>
      <w:r w:rsidRPr="00E51AB8">
        <w:rPr>
          <w:rFonts w:eastAsia="SimSun" w:cs="Times New Roman"/>
          <w:sz w:val="20"/>
          <w:szCs w:val="20"/>
        </w:rPr>
        <w:t>In this study, the data v</w:t>
      </w:r>
      <w:r w:rsidR="00B83E7A">
        <w:rPr>
          <w:rFonts w:eastAsia="SimSun" w:cs="Times New Roman"/>
          <w:sz w:val="20"/>
          <w:szCs w:val="20"/>
        </w:rPr>
        <w:t>alidation process of the peak</w:t>
      </w:r>
      <w:r w:rsidRPr="00E51AB8">
        <w:rPr>
          <w:rFonts w:eastAsia="SimSun" w:cs="Times New Roman"/>
          <w:sz w:val="20"/>
          <w:szCs w:val="20"/>
        </w:rPr>
        <w:t xml:space="preserve"> ground acceleration value was carried out using a new empirical formula with data recorded on the </w:t>
      </w:r>
      <w:proofErr w:type="spellStart"/>
      <w:r w:rsidRPr="00E51AB8">
        <w:rPr>
          <w:rFonts w:eastAsia="SimSun" w:cs="Times New Roman"/>
          <w:sz w:val="20"/>
          <w:szCs w:val="20"/>
        </w:rPr>
        <w:t>accelerograph</w:t>
      </w:r>
      <w:proofErr w:type="spellEnd"/>
      <w:r w:rsidRPr="00E51AB8">
        <w:rPr>
          <w:rFonts w:eastAsia="SimSun" w:cs="Times New Roman"/>
          <w:sz w:val="20"/>
          <w:szCs w:val="20"/>
        </w:rPr>
        <w:t>. This validation</w:t>
      </w:r>
      <w:r w:rsidR="002F2D37">
        <w:rPr>
          <w:rFonts w:eastAsia="SimSun" w:cs="Times New Roman"/>
          <w:sz w:val="20"/>
          <w:szCs w:val="20"/>
        </w:rPr>
        <w:t xml:space="preserve"> process is carried out </w:t>
      </w:r>
      <w:r w:rsidRPr="00E51AB8">
        <w:rPr>
          <w:rFonts w:eastAsia="SimSun" w:cs="Times New Roman"/>
          <w:sz w:val="20"/>
          <w:szCs w:val="20"/>
        </w:rPr>
        <w:t xml:space="preserve">to get the RMS error value. The validation process is carried out by comparing the calculation results from the empirical formula with the measured value on the </w:t>
      </w:r>
      <w:proofErr w:type="spellStart"/>
      <w:r w:rsidRPr="00E51AB8">
        <w:rPr>
          <w:rFonts w:eastAsia="SimSun" w:cs="Times New Roman"/>
          <w:sz w:val="20"/>
          <w:szCs w:val="20"/>
        </w:rPr>
        <w:t>accelerograph</w:t>
      </w:r>
      <w:proofErr w:type="spellEnd"/>
      <w:r w:rsidRPr="00E51AB8">
        <w:rPr>
          <w:rFonts w:eastAsia="SimSun" w:cs="Times New Roman"/>
          <w:sz w:val="20"/>
          <w:szCs w:val="20"/>
        </w:rPr>
        <w:t xml:space="preserve">. The graph </w:t>
      </w:r>
      <w:r w:rsidR="00B83E7A">
        <w:rPr>
          <w:rFonts w:eastAsia="SimSun" w:cs="Times New Roman"/>
          <w:sz w:val="20"/>
          <w:szCs w:val="20"/>
        </w:rPr>
        <w:t>of the comparison of the peak</w:t>
      </w:r>
      <w:r w:rsidRPr="00E51AB8">
        <w:rPr>
          <w:rFonts w:eastAsia="SimSun" w:cs="Times New Roman"/>
          <w:sz w:val="20"/>
          <w:szCs w:val="20"/>
        </w:rPr>
        <w:t xml:space="preserve"> ground acceleration </w:t>
      </w:r>
      <w:r w:rsidRPr="00E51AB8">
        <w:rPr>
          <w:rFonts w:eastAsia="SimSun" w:cs="Times New Roman"/>
          <w:sz w:val="20"/>
          <w:szCs w:val="20"/>
        </w:rPr>
        <w:lastRenderedPageBreak/>
        <w:t xml:space="preserve">value from the calculation results using the new empirical formula with the data recorded on the </w:t>
      </w:r>
      <w:proofErr w:type="spellStart"/>
      <w:r w:rsidRPr="00E51AB8">
        <w:rPr>
          <w:rFonts w:eastAsia="SimSun" w:cs="Times New Roman"/>
          <w:sz w:val="20"/>
          <w:szCs w:val="20"/>
        </w:rPr>
        <w:t>accelerograph</w:t>
      </w:r>
      <w:proofErr w:type="spellEnd"/>
      <w:r w:rsidRPr="00E51AB8">
        <w:rPr>
          <w:rFonts w:eastAsia="SimSun" w:cs="Times New Roman"/>
          <w:sz w:val="20"/>
          <w:szCs w:val="20"/>
        </w:rPr>
        <w:t xml:space="preserve"> can be seen in Figure 4.</w:t>
      </w:r>
    </w:p>
    <w:p w:rsidR="008C224B" w:rsidRDefault="008C224B">
      <w:pPr>
        <w:spacing w:after="0" w:line="240" w:lineRule="auto"/>
        <w:ind w:firstLine="426"/>
        <w:jc w:val="both"/>
        <w:rPr>
          <w:rFonts w:eastAsia="SimSun" w:cs="Times New Roman"/>
          <w:sz w:val="20"/>
          <w:szCs w:val="20"/>
        </w:rPr>
      </w:pPr>
    </w:p>
    <w:p w:rsidR="009B1151" w:rsidRDefault="009B1151" w:rsidP="008C224B">
      <w:pPr>
        <w:spacing w:after="0" w:line="276" w:lineRule="auto"/>
        <w:jc w:val="center"/>
        <w:rPr>
          <w:rFonts w:eastAsia="SimSun" w:cs="Times New Roman"/>
          <w:sz w:val="20"/>
          <w:szCs w:val="20"/>
        </w:rPr>
      </w:pPr>
      <w:r w:rsidRPr="009B1151">
        <w:rPr>
          <w:rFonts w:eastAsia="SimSun" w:cs="Times New Roman"/>
          <w:noProof/>
          <w:sz w:val="20"/>
          <w:szCs w:val="20"/>
        </w:rPr>
        <w:drawing>
          <wp:inline distT="0" distB="0" distL="0" distR="0">
            <wp:extent cx="4434840" cy="2495550"/>
            <wp:effectExtent l="19050" t="0" r="2286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1AB8" w:rsidRDefault="00E372AD" w:rsidP="009B1151">
      <w:pPr>
        <w:spacing w:after="0" w:line="240" w:lineRule="auto"/>
        <w:jc w:val="center"/>
        <w:rPr>
          <w:rFonts w:eastAsia="SimSun" w:cs="Times New Roman"/>
          <w:sz w:val="20"/>
          <w:szCs w:val="20"/>
        </w:rPr>
      </w:pPr>
      <w:proofErr w:type="gramStart"/>
      <w:r w:rsidRPr="00E372AD">
        <w:rPr>
          <w:rFonts w:eastAsia="SimSun" w:cs="Times New Roman"/>
          <w:b/>
          <w:sz w:val="20"/>
          <w:szCs w:val="20"/>
        </w:rPr>
        <w:t>Fig.</w:t>
      </w:r>
      <w:r w:rsidR="00B83E7A" w:rsidRPr="00E372AD">
        <w:rPr>
          <w:rFonts w:eastAsia="SimSun" w:cs="Times New Roman"/>
          <w:b/>
          <w:sz w:val="20"/>
          <w:szCs w:val="20"/>
        </w:rPr>
        <w:t xml:space="preserve"> 4</w:t>
      </w:r>
      <w:r w:rsidR="00B83E7A">
        <w:rPr>
          <w:rFonts w:eastAsia="SimSun" w:cs="Times New Roman"/>
          <w:sz w:val="20"/>
          <w:szCs w:val="20"/>
        </w:rPr>
        <w:t>.</w:t>
      </w:r>
      <w:proofErr w:type="gramEnd"/>
      <w:r w:rsidR="00B83E7A">
        <w:rPr>
          <w:rFonts w:eastAsia="SimSun" w:cs="Times New Roman"/>
          <w:sz w:val="20"/>
          <w:szCs w:val="20"/>
        </w:rPr>
        <w:t xml:space="preserve"> </w:t>
      </w:r>
      <w:proofErr w:type="gramStart"/>
      <w:r w:rsidR="00B83E7A">
        <w:rPr>
          <w:rFonts w:eastAsia="SimSun" w:cs="Times New Roman"/>
          <w:sz w:val="20"/>
          <w:szCs w:val="20"/>
        </w:rPr>
        <w:t>Comparison of Peak</w:t>
      </w:r>
      <w:r w:rsidR="00E51AB8" w:rsidRPr="00E51AB8">
        <w:rPr>
          <w:rFonts w:eastAsia="SimSun" w:cs="Times New Roman"/>
          <w:sz w:val="20"/>
          <w:szCs w:val="20"/>
        </w:rPr>
        <w:t xml:space="preserve"> Ground Acceleration Value.</w:t>
      </w:r>
      <w:proofErr w:type="gramEnd"/>
    </w:p>
    <w:p w:rsidR="001072E3" w:rsidRDefault="001072E3">
      <w:pPr>
        <w:spacing w:after="0" w:line="240" w:lineRule="auto"/>
        <w:ind w:firstLine="426"/>
        <w:jc w:val="both"/>
        <w:rPr>
          <w:rFonts w:eastAsia="SimSun" w:cs="Times New Roman"/>
          <w:sz w:val="20"/>
          <w:szCs w:val="20"/>
        </w:rPr>
      </w:pPr>
    </w:p>
    <w:p w:rsidR="00E51AB8" w:rsidRDefault="00E51AB8">
      <w:pPr>
        <w:spacing w:after="0" w:line="240" w:lineRule="auto"/>
        <w:ind w:firstLine="426"/>
        <w:jc w:val="both"/>
        <w:rPr>
          <w:rFonts w:eastAsia="SimSun" w:cs="Times New Roman"/>
          <w:sz w:val="20"/>
          <w:szCs w:val="20"/>
        </w:rPr>
      </w:pPr>
      <w:r w:rsidRPr="00E51AB8">
        <w:rPr>
          <w:rFonts w:eastAsia="SimSun" w:cs="Times New Roman"/>
          <w:sz w:val="20"/>
          <w:szCs w:val="20"/>
        </w:rPr>
        <w:t>Figure 4 shows that th</w:t>
      </w:r>
      <w:r w:rsidR="00B83E7A">
        <w:rPr>
          <w:rFonts w:eastAsia="SimSun" w:cs="Times New Roman"/>
          <w:sz w:val="20"/>
          <w:szCs w:val="20"/>
        </w:rPr>
        <w:t>e difference between the peak</w:t>
      </w:r>
      <w:r w:rsidRPr="00E51AB8">
        <w:rPr>
          <w:rFonts w:eastAsia="SimSun" w:cs="Times New Roman"/>
          <w:sz w:val="20"/>
          <w:szCs w:val="20"/>
        </w:rPr>
        <w:t xml:space="preserve"> ground acceleration value using the new empirical formula and the data recorded on the </w:t>
      </w:r>
      <w:proofErr w:type="spellStart"/>
      <w:r w:rsidRPr="00E51AB8">
        <w:rPr>
          <w:rFonts w:eastAsia="SimSun" w:cs="Times New Roman"/>
          <w:sz w:val="20"/>
          <w:szCs w:val="20"/>
        </w:rPr>
        <w:t>accelerograph</w:t>
      </w:r>
      <w:proofErr w:type="spellEnd"/>
      <w:r w:rsidRPr="00E51AB8">
        <w:rPr>
          <w:rFonts w:eastAsia="SimSun" w:cs="Times New Roman"/>
          <w:sz w:val="20"/>
          <w:szCs w:val="20"/>
        </w:rPr>
        <w:t xml:space="preserve"> is quite small. This is evidenced by the RMS error value of 0.438937. So, the possibility of error in the new empirical formula is quite small. The results of the</w:t>
      </w:r>
      <w:r w:rsidR="00B83E7A">
        <w:rPr>
          <w:rFonts w:eastAsia="SimSun" w:cs="Times New Roman"/>
          <w:sz w:val="20"/>
          <w:szCs w:val="20"/>
        </w:rPr>
        <w:t xml:space="preserve"> calculation of the peak ground </w:t>
      </w:r>
      <w:r w:rsidRPr="00E51AB8">
        <w:rPr>
          <w:rFonts w:eastAsia="SimSun" w:cs="Times New Roman"/>
          <w:sz w:val="20"/>
          <w:szCs w:val="20"/>
        </w:rPr>
        <w:t>acceleration value of the province of West S</w:t>
      </w:r>
      <w:r w:rsidR="00E10BD5">
        <w:rPr>
          <w:rFonts w:eastAsia="SimSun" w:cs="Times New Roman"/>
          <w:sz w:val="20"/>
          <w:szCs w:val="20"/>
        </w:rPr>
        <w:t>umatra are in the range of 1.23-</w:t>
      </w:r>
      <w:r w:rsidRPr="00E51AB8">
        <w:rPr>
          <w:rFonts w:eastAsia="SimSun" w:cs="Times New Roman"/>
          <w:sz w:val="20"/>
          <w:szCs w:val="20"/>
        </w:rPr>
        <w:t>49.43 gal. Ma</w:t>
      </w:r>
      <w:r w:rsidR="00B83E7A">
        <w:rPr>
          <w:rFonts w:eastAsia="SimSun" w:cs="Times New Roman"/>
          <w:sz w:val="20"/>
          <w:szCs w:val="20"/>
        </w:rPr>
        <w:t xml:space="preserve">p of the distribution of peak </w:t>
      </w:r>
      <w:r w:rsidRPr="00E51AB8">
        <w:rPr>
          <w:rFonts w:eastAsia="SimSun" w:cs="Times New Roman"/>
          <w:sz w:val="20"/>
          <w:szCs w:val="20"/>
        </w:rPr>
        <w:t>ground acceleration values as shown in Figure 5.</w:t>
      </w:r>
    </w:p>
    <w:p w:rsidR="008C224B" w:rsidRDefault="008C224B">
      <w:pPr>
        <w:spacing w:after="0" w:line="240" w:lineRule="auto"/>
        <w:ind w:firstLine="426"/>
        <w:jc w:val="both"/>
        <w:rPr>
          <w:rFonts w:eastAsia="SimSun" w:cs="Times New Roman"/>
          <w:sz w:val="20"/>
          <w:szCs w:val="20"/>
        </w:rPr>
      </w:pPr>
    </w:p>
    <w:p w:rsidR="00D12B65" w:rsidRDefault="00D12B65" w:rsidP="00D12B65">
      <w:pPr>
        <w:spacing w:after="0" w:line="240" w:lineRule="auto"/>
        <w:jc w:val="center"/>
        <w:rPr>
          <w:rFonts w:eastAsia="SimSun" w:cs="Times New Roman"/>
          <w:sz w:val="20"/>
          <w:szCs w:val="20"/>
        </w:rPr>
      </w:pPr>
      <w:r w:rsidRPr="00D12B65">
        <w:rPr>
          <w:rFonts w:eastAsia="SimSun" w:cs="Times New Roman"/>
          <w:noProof/>
          <w:sz w:val="20"/>
          <w:szCs w:val="20"/>
        </w:rPr>
        <w:drawing>
          <wp:inline distT="0" distB="0" distL="0" distR="0">
            <wp:extent cx="4434840" cy="2849352"/>
            <wp:effectExtent l="19050" t="0" r="3810" b="0"/>
            <wp:docPr id="13" name="Picture 2" descr="G:\SKRIPSI\Skripsi Asli\PGA FI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KRIPSI\Skripsi Asli\PGA FINISH.jpg"/>
                    <pic:cNvPicPr>
                      <a:picLocks noChangeAspect="1" noChangeArrowheads="1"/>
                    </pic:cNvPicPr>
                  </pic:nvPicPr>
                  <pic:blipFill>
                    <a:blip r:embed="rId20" cstate="print"/>
                    <a:srcRect/>
                    <a:stretch>
                      <a:fillRect/>
                    </a:stretch>
                  </pic:blipFill>
                  <pic:spPr bwMode="auto">
                    <a:xfrm>
                      <a:off x="0" y="0"/>
                      <a:ext cx="4434840" cy="2849352"/>
                    </a:xfrm>
                    <a:prstGeom prst="rect">
                      <a:avLst/>
                    </a:prstGeom>
                    <a:noFill/>
                    <a:ln w="9525">
                      <a:noFill/>
                      <a:miter lim="800000"/>
                      <a:headEnd/>
                      <a:tailEnd/>
                    </a:ln>
                  </pic:spPr>
                </pic:pic>
              </a:graphicData>
            </a:graphic>
          </wp:inline>
        </w:drawing>
      </w:r>
    </w:p>
    <w:p w:rsidR="00E51AB8" w:rsidRDefault="00E372AD" w:rsidP="00D12B65">
      <w:pPr>
        <w:spacing w:after="0" w:line="240" w:lineRule="auto"/>
        <w:jc w:val="center"/>
        <w:rPr>
          <w:rFonts w:eastAsia="SimSun" w:cs="Times New Roman"/>
          <w:sz w:val="20"/>
          <w:szCs w:val="20"/>
        </w:rPr>
      </w:pPr>
      <w:proofErr w:type="gramStart"/>
      <w:r w:rsidRPr="00E372AD">
        <w:rPr>
          <w:rFonts w:eastAsia="SimSun" w:cs="Times New Roman"/>
          <w:b/>
          <w:sz w:val="20"/>
          <w:szCs w:val="20"/>
        </w:rPr>
        <w:t>Fig.</w:t>
      </w:r>
      <w:r w:rsidR="00B83E7A" w:rsidRPr="00E372AD">
        <w:rPr>
          <w:rFonts w:eastAsia="SimSun" w:cs="Times New Roman"/>
          <w:b/>
          <w:sz w:val="20"/>
          <w:szCs w:val="20"/>
        </w:rPr>
        <w:t xml:space="preserve"> 5</w:t>
      </w:r>
      <w:r w:rsidR="00B83E7A">
        <w:rPr>
          <w:rFonts w:eastAsia="SimSun" w:cs="Times New Roman"/>
          <w:sz w:val="20"/>
          <w:szCs w:val="20"/>
        </w:rPr>
        <w:t>.</w:t>
      </w:r>
      <w:proofErr w:type="gramEnd"/>
      <w:r w:rsidR="00B83E7A">
        <w:rPr>
          <w:rFonts w:eastAsia="SimSun" w:cs="Times New Roman"/>
          <w:sz w:val="20"/>
          <w:szCs w:val="20"/>
        </w:rPr>
        <w:t xml:space="preserve"> </w:t>
      </w:r>
      <w:proofErr w:type="gramStart"/>
      <w:r w:rsidR="00B83E7A">
        <w:rPr>
          <w:rFonts w:eastAsia="SimSun" w:cs="Times New Roman"/>
          <w:sz w:val="20"/>
          <w:szCs w:val="20"/>
        </w:rPr>
        <w:t xml:space="preserve">Map of Peak Ground </w:t>
      </w:r>
      <w:r w:rsidR="00E51AB8" w:rsidRPr="00E51AB8">
        <w:rPr>
          <w:rFonts w:eastAsia="SimSun" w:cs="Times New Roman"/>
          <w:sz w:val="20"/>
          <w:szCs w:val="20"/>
        </w:rPr>
        <w:t>Acceleration of West Sumatra Province.</w:t>
      </w:r>
      <w:proofErr w:type="gramEnd"/>
    </w:p>
    <w:p w:rsidR="00D12B65" w:rsidRDefault="00D12B65" w:rsidP="00D12B65">
      <w:pPr>
        <w:spacing w:after="0" w:line="240" w:lineRule="auto"/>
        <w:jc w:val="center"/>
        <w:rPr>
          <w:rFonts w:eastAsia="SimSun" w:cs="Times New Roman"/>
          <w:sz w:val="20"/>
          <w:szCs w:val="20"/>
        </w:rPr>
      </w:pPr>
    </w:p>
    <w:p w:rsidR="00E51AB8" w:rsidRDefault="00E51AB8">
      <w:pPr>
        <w:spacing w:after="0" w:line="240" w:lineRule="auto"/>
        <w:ind w:firstLine="426"/>
        <w:jc w:val="both"/>
        <w:rPr>
          <w:rFonts w:eastAsia="SimSun" w:cs="Times New Roman"/>
          <w:sz w:val="20"/>
          <w:szCs w:val="20"/>
        </w:rPr>
      </w:pPr>
      <w:r w:rsidRPr="00E51AB8">
        <w:rPr>
          <w:rFonts w:eastAsia="SimSun" w:cs="Times New Roman"/>
          <w:sz w:val="20"/>
          <w:szCs w:val="20"/>
        </w:rPr>
        <w:t>Based on Figure 5, the cities/distric</w:t>
      </w:r>
      <w:r w:rsidR="00B83E7A">
        <w:rPr>
          <w:rFonts w:eastAsia="SimSun" w:cs="Times New Roman"/>
          <w:sz w:val="20"/>
          <w:szCs w:val="20"/>
        </w:rPr>
        <w:t>ts with the largest peak ground</w:t>
      </w:r>
      <w:r w:rsidRPr="00E51AB8">
        <w:rPr>
          <w:rFonts w:eastAsia="SimSun" w:cs="Times New Roman"/>
          <w:sz w:val="20"/>
          <w:szCs w:val="20"/>
        </w:rPr>
        <w:t xml:space="preserve"> acceleration values ​​are in the </w:t>
      </w:r>
      <w:proofErr w:type="spellStart"/>
      <w:r w:rsidRPr="00E51AB8">
        <w:rPr>
          <w:rFonts w:eastAsia="SimSun" w:cs="Times New Roman"/>
          <w:sz w:val="20"/>
          <w:szCs w:val="20"/>
        </w:rPr>
        <w:t>Mentawai</w:t>
      </w:r>
      <w:proofErr w:type="spellEnd"/>
      <w:r w:rsidRPr="00E51AB8">
        <w:rPr>
          <w:rFonts w:eastAsia="SimSun" w:cs="Times New Roman"/>
          <w:sz w:val="20"/>
          <w:szCs w:val="20"/>
        </w:rPr>
        <w:t xml:space="preserve"> Islands Rege</w:t>
      </w:r>
      <w:r w:rsidR="00E10BD5">
        <w:rPr>
          <w:rFonts w:eastAsia="SimSun" w:cs="Times New Roman"/>
          <w:sz w:val="20"/>
          <w:szCs w:val="20"/>
        </w:rPr>
        <w:t>ncy, which is in the range of 9-</w:t>
      </w:r>
      <w:r w:rsidRPr="00E51AB8">
        <w:rPr>
          <w:rFonts w:eastAsia="SimSun" w:cs="Times New Roman"/>
          <w:sz w:val="20"/>
          <w:szCs w:val="20"/>
        </w:rPr>
        <w:t xml:space="preserve">29 gal. This is because the </w:t>
      </w:r>
      <w:proofErr w:type="spellStart"/>
      <w:r w:rsidRPr="00E51AB8">
        <w:rPr>
          <w:rFonts w:eastAsia="SimSun" w:cs="Times New Roman"/>
          <w:sz w:val="20"/>
          <w:szCs w:val="20"/>
        </w:rPr>
        <w:t>Mentawai</w:t>
      </w:r>
      <w:proofErr w:type="spellEnd"/>
      <w:r w:rsidRPr="00E51AB8">
        <w:rPr>
          <w:rFonts w:eastAsia="SimSun" w:cs="Times New Roman"/>
          <w:sz w:val="20"/>
          <w:szCs w:val="20"/>
        </w:rPr>
        <w:t xml:space="preserve"> Islands are near the epicenter of the earthquake, so they hav</w:t>
      </w:r>
      <w:r w:rsidR="00B83E7A">
        <w:rPr>
          <w:rFonts w:eastAsia="SimSun" w:cs="Times New Roman"/>
          <w:sz w:val="20"/>
          <w:szCs w:val="20"/>
        </w:rPr>
        <w:t>e a high peak</w:t>
      </w:r>
      <w:r w:rsidRPr="00E51AB8">
        <w:rPr>
          <w:rFonts w:eastAsia="SimSun" w:cs="Times New Roman"/>
          <w:sz w:val="20"/>
          <w:szCs w:val="20"/>
        </w:rPr>
        <w:t xml:space="preserve"> ground acceleration value. When viewed from the tectonic condition, the </w:t>
      </w:r>
      <w:proofErr w:type="spellStart"/>
      <w:r w:rsidRPr="00E51AB8">
        <w:rPr>
          <w:rFonts w:eastAsia="SimSun" w:cs="Times New Roman"/>
          <w:sz w:val="20"/>
          <w:szCs w:val="20"/>
        </w:rPr>
        <w:t>Mentawai</w:t>
      </w:r>
      <w:proofErr w:type="spellEnd"/>
      <w:r w:rsidRPr="00E51AB8">
        <w:rPr>
          <w:rFonts w:eastAsia="SimSun" w:cs="Times New Roman"/>
          <w:sz w:val="20"/>
          <w:szCs w:val="20"/>
        </w:rPr>
        <w:t xml:space="preserve"> Islands Re</w:t>
      </w:r>
      <w:r w:rsidR="002F2D37">
        <w:rPr>
          <w:rFonts w:eastAsia="SimSun" w:cs="Times New Roman"/>
          <w:sz w:val="20"/>
          <w:szCs w:val="20"/>
        </w:rPr>
        <w:t xml:space="preserve">gency is in the </w:t>
      </w:r>
      <w:proofErr w:type="spellStart"/>
      <w:r w:rsidR="002F2D37">
        <w:rPr>
          <w:rFonts w:eastAsia="SimSun" w:cs="Times New Roman"/>
          <w:sz w:val="20"/>
          <w:szCs w:val="20"/>
        </w:rPr>
        <w:t>Mentawai</w:t>
      </w:r>
      <w:proofErr w:type="spellEnd"/>
      <w:r w:rsidR="002F2D37">
        <w:rPr>
          <w:rFonts w:eastAsia="SimSun" w:cs="Times New Roman"/>
          <w:sz w:val="20"/>
          <w:szCs w:val="20"/>
        </w:rPr>
        <w:t xml:space="preserve"> Fault Z</w:t>
      </w:r>
      <w:r w:rsidRPr="00E51AB8">
        <w:rPr>
          <w:rFonts w:eastAsia="SimSun" w:cs="Times New Roman"/>
          <w:sz w:val="20"/>
          <w:szCs w:val="20"/>
        </w:rPr>
        <w:t xml:space="preserve">one that extends around the sea of ​​the </w:t>
      </w:r>
      <w:proofErr w:type="spellStart"/>
      <w:r w:rsidRPr="00E51AB8">
        <w:rPr>
          <w:rFonts w:eastAsia="SimSun" w:cs="Times New Roman"/>
          <w:sz w:val="20"/>
          <w:szCs w:val="20"/>
        </w:rPr>
        <w:t>Mentawai</w:t>
      </w:r>
      <w:proofErr w:type="spellEnd"/>
      <w:r w:rsidRPr="00E51AB8">
        <w:rPr>
          <w:rFonts w:eastAsia="SimSun" w:cs="Times New Roman"/>
          <w:sz w:val="20"/>
          <w:szCs w:val="20"/>
        </w:rPr>
        <w:t xml:space="preserve"> islands, so it can be a threat to the province of West Sumatra in the event of an earthquake. Then the lowest value is in </w:t>
      </w:r>
      <w:proofErr w:type="spellStart"/>
      <w:r w:rsidRPr="00E51AB8">
        <w:rPr>
          <w:rFonts w:eastAsia="SimSun" w:cs="Times New Roman"/>
          <w:sz w:val="20"/>
          <w:szCs w:val="20"/>
        </w:rPr>
        <w:t>Dharmasraya</w:t>
      </w:r>
      <w:proofErr w:type="spellEnd"/>
      <w:r w:rsidRPr="00E51AB8">
        <w:rPr>
          <w:rFonts w:eastAsia="SimSun" w:cs="Times New Roman"/>
          <w:sz w:val="20"/>
          <w:szCs w:val="20"/>
        </w:rPr>
        <w:t xml:space="preserve"> Rege</w:t>
      </w:r>
      <w:r w:rsidR="00E10BD5">
        <w:rPr>
          <w:rFonts w:eastAsia="SimSun" w:cs="Times New Roman"/>
          <w:sz w:val="20"/>
          <w:szCs w:val="20"/>
        </w:rPr>
        <w:t>ncy, which is in the range of 1-</w:t>
      </w:r>
      <w:r w:rsidRPr="00E51AB8">
        <w:rPr>
          <w:rFonts w:eastAsia="SimSun" w:cs="Times New Roman"/>
          <w:sz w:val="20"/>
          <w:szCs w:val="20"/>
        </w:rPr>
        <w:t xml:space="preserve">3 gal. Apart from being far from the epicenter of the earthquake, </w:t>
      </w:r>
      <w:proofErr w:type="spellStart"/>
      <w:r w:rsidRPr="00E51AB8">
        <w:rPr>
          <w:rFonts w:eastAsia="SimSun" w:cs="Times New Roman"/>
          <w:sz w:val="20"/>
          <w:szCs w:val="20"/>
        </w:rPr>
        <w:t>Dharmasraya</w:t>
      </w:r>
      <w:proofErr w:type="spellEnd"/>
      <w:r w:rsidRPr="00E51AB8">
        <w:rPr>
          <w:rFonts w:eastAsia="SimSun" w:cs="Times New Roman"/>
          <w:sz w:val="20"/>
          <w:szCs w:val="20"/>
        </w:rPr>
        <w:t xml:space="preserve"> Regency also has a geological structure that is relatively safe from fau</w:t>
      </w:r>
      <w:r w:rsidR="00DF0289">
        <w:rPr>
          <w:rFonts w:eastAsia="SimSun" w:cs="Times New Roman"/>
          <w:sz w:val="20"/>
          <w:szCs w:val="20"/>
        </w:rPr>
        <w:t>lts or earthquake paths.</w:t>
      </w:r>
    </w:p>
    <w:p w:rsidR="00E51AB8" w:rsidRDefault="00FF1F16">
      <w:pPr>
        <w:spacing w:after="0" w:line="240" w:lineRule="auto"/>
        <w:ind w:firstLine="426"/>
        <w:jc w:val="both"/>
        <w:rPr>
          <w:rFonts w:eastAsia="SimSun" w:cs="Times New Roman"/>
          <w:sz w:val="20"/>
          <w:szCs w:val="20"/>
        </w:rPr>
      </w:pPr>
      <w:r w:rsidRPr="00FF1F16">
        <w:rPr>
          <w:rFonts w:eastAsia="SimSun" w:cs="Times New Roman"/>
          <w:sz w:val="20"/>
          <w:szCs w:val="20"/>
        </w:rPr>
        <w:lastRenderedPageBreak/>
        <w:t>The results of this study show the same thing as previous studies. Previous research</w:t>
      </w:r>
      <w:r>
        <w:rPr>
          <w:rFonts w:eastAsia="SimSun" w:cs="Times New Roman"/>
          <w:sz w:val="20"/>
          <w:szCs w:val="20"/>
        </w:rPr>
        <w:t xml:space="preserve"> showed that the highest peak</w:t>
      </w:r>
      <w:r w:rsidRPr="00FF1F16">
        <w:rPr>
          <w:rFonts w:eastAsia="SimSun" w:cs="Times New Roman"/>
          <w:sz w:val="20"/>
          <w:szCs w:val="20"/>
        </w:rPr>
        <w:t xml:space="preserve"> ground acceleration value in the West Sumatra region using the 2007 - 2017 earthquake data period was in the </w:t>
      </w:r>
      <w:proofErr w:type="spellStart"/>
      <w:r w:rsidRPr="00FF1F16">
        <w:rPr>
          <w:rFonts w:eastAsia="SimSun" w:cs="Times New Roman"/>
          <w:sz w:val="20"/>
          <w:szCs w:val="20"/>
        </w:rPr>
        <w:t>Mentawai</w:t>
      </w:r>
      <w:proofErr w:type="spellEnd"/>
      <w:r w:rsidRPr="00FF1F16">
        <w:rPr>
          <w:rFonts w:eastAsia="SimSun" w:cs="Times New Roman"/>
          <w:sz w:val="20"/>
          <w:szCs w:val="20"/>
        </w:rPr>
        <w:t xml:space="preserve"> Islands Regency, namely 138.79 gal</w:t>
      </w:r>
      <w:r w:rsidR="00BB75CD">
        <w:rPr>
          <w:rFonts w:eastAsia="SimSun" w:cs="Times New Roman"/>
          <w:sz w:val="20"/>
          <w:szCs w:val="20"/>
        </w:rPr>
        <w:t>s</w:t>
      </w:r>
      <w:r w:rsidRPr="00FF1F16">
        <w:rPr>
          <w:rFonts w:eastAsia="SimSun" w:cs="Times New Roman"/>
          <w:sz w:val="20"/>
          <w:szCs w:val="20"/>
        </w:rPr>
        <w:t xml:space="preserve"> using the Mc.</w:t>
      </w:r>
      <w:r>
        <w:rPr>
          <w:rFonts w:eastAsia="SimSun" w:cs="Times New Roman"/>
          <w:sz w:val="20"/>
          <w:szCs w:val="20"/>
        </w:rPr>
        <w:t xml:space="preserve"> </w:t>
      </w:r>
      <w:proofErr w:type="spellStart"/>
      <w:r w:rsidRPr="00FF1F16">
        <w:rPr>
          <w:rFonts w:eastAsia="SimSun" w:cs="Times New Roman"/>
          <w:sz w:val="20"/>
          <w:szCs w:val="20"/>
        </w:rPr>
        <w:t>Guirre</w:t>
      </w:r>
      <w:proofErr w:type="spellEnd"/>
      <w:r w:rsidRPr="00FF1F16">
        <w:rPr>
          <w:rFonts w:eastAsia="SimSun" w:cs="Times New Roman"/>
          <w:sz w:val="20"/>
          <w:szCs w:val="20"/>
        </w:rPr>
        <w:t xml:space="preserve"> empirical formula, 348.31 gal</w:t>
      </w:r>
      <w:r w:rsidR="00BB75CD">
        <w:rPr>
          <w:rFonts w:eastAsia="SimSun" w:cs="Times New Roman"/>
          <w:sz w:val="20"/>
          <w:szCs w:val="20"/>
        </w:rPr>
        <w:t>s</w:t>
      </w:r>
      <w:r w:rsidRPr="00FF1F16">
        <w:rPr>
          <w:rFonts w:eastAsia="SimSun" w:cs="Times New Roman"/>
          <w:sz w:val="20"/>
          <w:szCs w:val="20"/>
        </w:rPr>
        <w:t xml:space="preserve"> using the Si and </w:t>
      </w:r>
      <w:proofErr w:type="spellStart"/>
      <w:r w:rsidRPr="00FF1F16">
        <w:rPr>
          <w:rFonts w:eastAsia="SimSun" w:cs="Times New Roman"/>
          <w:sz w:val="20"/>
          <w:szCs w:val="20"/>
        </w:rPr>
        <w:t>Midorikawa</w:t>
      </w:r>
      <w:proofErr w:type="spellEnd"/>
      <w:r w:rsidRPr="00FF1F16">
        <w:rPr>
          <w:rFonts w:eastAsia="SimSun" w:cs="Times New Roman"/>
          <w:sz w:val="20"/>
          <w:szCs w:val="20"/>
        </w:rPr>
        <w:t xml:space="preserve"> empirical formula</w:t>
      </w:r>
      <w:r w:rsidR="00B019AF">
        <w:rPr>
          <w:rFonts w:eastAsia="SimSun" w:cs="Times New Roman"/>
          <w:sz w:val="20"/>
          <w:szCs w:val="20"/>
        </w:rPr>
        <w:t>,</w:t>
      </w:r>
      <w:r w:rsidRPr="00FF1F16">
        <w:rPr>
          <w:rFonts w:eastAsia="SimSun" w:cs="Times New Roman"/>
          <w:sz w:val="20"/>
          <w:szCs w:val="20"/>
        </w:rPr>
        <w:t xml:space="preserve"> and 34.47 gal</w:t>
      </w:r>
      <w:r w:rsidR="00BB75CD">
        <w:rPr>
          <w:rFonts w:eastAsia="SimSun" w:cs="Times New Roman"/>
          <w:sz w:val="20"/>
          <w:szCs w:val="20"/>
        </w:rPr>
        <w:t>s</w:t>
      </w:r>
      <w:r w:rsidRPr="00FF1F16">
        <w:rPr>
          <w:rFonts w:eastAsia="SimSun" w:cs="Times New Roman"/>
          <w:sz w:val="20"/>
          <w:szCs w:val="20"/>
        </w:rPr>
        <w:t xml:space="preserve"> by using Donovan's empirical formulation [12].</w:t>
      </w:r>
    </w:p>
    <w:p w:rsidR="00E51AB8" w:rsidRDefault="00EE0BC8">
      <w:pPr>
        <w:spacing w:after="0" w:line="240" w:lineRule="auto"/>
        <w:ind w:firstLine="426"/>
        <w:jc w:val="both"/>
        <w:rPr>
          <w:rFonts w:eastAsia="SimSun" w:cs="Times New Roman"/>
          <w:sz w:val="20"/>
          <w:szCs w:val="20"/>
        </w:rPr>
      </w:pPr>
      <w:r>
        <w:rPr>
          <w:rFonts w:eastAsia="SimSun" w:cs="Times New Roman"/>
          <w:sz w:val="20"/>
          <w:szCs w:val="20"/>
        </w:rPr>
        <w:t>The peak</w:t>
      </w:r>
      <w:r w:rsidR="00E51AB8" w:rsidRPr="00E51AB8">
        <w:rPr>
          <w:rFonts w:eastAsia="SimSun" w:cs="Times New Roman"/>
          <w:sz w:val="20"/>
          <w:szCs w:val="20"/>
        </w:rPr>
        <w:t xml:space="preserve"> ground acceleration value can be used as information on earthquake disaster mitigation, especially for the province of West Sumatra in the process of building earthquake-resistant structures and infrastructure facilities. Buildings built in the </w:t>
      </w:r>
      <w:proofErr w:type="spellStart"/>
      <w:r w:rsidR="00E51AB8" w:rsidRPr="00E51AB8">
        <w:rPr>
          <w:rFonts w:eastAsia="SimSun" w:cs="Times New Roman"/>
          <w:sz w:val="20"/>
          <w:szCs w:val="20"/>
        </w:rPr>
        <w:t>Mentawai</w:t>
      </w:r>
      <w:proofErr w:type="spellEnd"/>
      <w:r w:rsidR="00E51AB8" w:rsidRPr="00E51AB8">
        <w:rPr>
          <w:rFonts w:eastAsia="SimSun" w:cs="Times New Roman"/>
          <w:sz w:val="20"/>
          <w:szCs w:val="20"/>
        </w:rPr>
        <w:t xml:space="preserve"> Islands Regency and Padang City should have met the requirements for</w:t>
      </w:r>
      <w:r w:rsidR="00D96C97">
        <w:rPr>
          <w:rFonts w:eastAsia="SimSun" w:cs="Times New Roman"/>
          <w:sz w:val="20"/>
          <w:szCs w:val="20"/>
        </w:rPr>
        <w:t xml:space="preserve"> earthquake-resistant buildings</w:t>
      </w:r>
      <w:r w:rsidR="00E51AB8" w:rsidRPr="00E51AB8">
        <w:rPr>
          <w:rFonts w:eastAsia="SimSun" w:cs="Times New Roman"/>
          <w:sz w:val="20"/>
          <w:szCs w:val="20"/>
        </w:rPr>
        <w:t xml:space="preserve"> be</w:t>
      </w:r>
      <w:r>
        <w:rPr>
          <w:rFonts w:eastAsia="SimSun" w:cs="Times New Roman"/>
          <w:sz w:val="20"/>
          <w:szCs w:val="20"/>
        </w:rPr>
        <w:t>cause they have a fairly high peak</w:t>
      </w:r>
      <w:r w:rsidR="00E51AB8" w:rsidRPr="00E51AB8">
        <w:rPr>
          <w:rFonts w:eastAsia="SimSun" w:cs="Times New Roman"/>
          <w:sz w:val="20"/>
          <w:szCs w:val="20"/>
        </w:rPr>
        <w:t xml:space="preserve"> ground acceleration value.</w:t>
      </w:r>
    </w:p>
    <w:p w:rsidR="002C1D98" w:rsidRDefault="00E76463">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Content>
          <w:r w:rsidR="0032099D">
            <w:rPr>
              <w:bCs/>
              <w:sz w:val="21"/>
            </w:rPr>
            <w:t>CONCLUSION</w:t>
          </w:r>
        </w:sdtContent>
      </w:sdt>
    </w:p>
    <w:p w:rsidR="00E51AB8" w:rsidRDefault="00E51AB8" w:rsidP="00487570">
      <w:pPr>
        <w:spacing w:after="0" w:line="240" w:lineRule="auto"/>
        <w:ind w:firstLine="426"/>
        <w:jc w:val="both"/>
        <w:rPr>
          <w:rFonts w:eastAsia="SimSun" w:cs="Times New Roman"/>
          <w:sz w:val="20"/>
          <w:szCs w:val="20"/>
        </w:rPr>
      </w:pPr>
      <w:r w:rsidRPr="00E51AB8">
        <w:rPr>
          <w:rFonts w:eastAsia="SimSun" w:cs="Times New Roman"/>
          <w:sz w:val="20"/>
          <w:szCs w:val="20"/>
        </w:rPr>
        <w:t xml:space="preserve">The results of the b-value and </w:t>
      </w:r>
      <w:r w:rsidR="00CF45F3" w:rsidRPr="00E51AB8">
        <w:rPr>
          <w:rFonts w:eastAsia="SimSun" w:cs="Times New Roman"/>
          <w:sz w:val="20"/>
          <w:szCs w:val="20"/>
        </w:rPr>
        <w:t xml:space="preserve">peak ground acceleration </w:t>
      </w:r>
      <w:r w:rsidRPr="00E51AB8">
        <w:rPr>
          <w:rFonts w:eastAsia="SimSun" w:cs="Times New Roman"/>
          <w:sz w:val="20"/>
          <w:szCs w:val="20"/>
        </w:rPr>
        <w:t>(PGA) analysis in the province of West Sumatra using the maximum likelihood method and the</w:t>
      </w:r>
      <w:r w:rsidR="00E10BD5">
        <w:rPr>
          <w:rFonts w:eastAsia="SimSun" w:cs="Times New Roman"/>
          <w:sz w:val="20"/>
          <w:szCs w:val="20"/>
        </w:rPr>
        <w:t xml:space="preserve"> empirical formula for the 2007-</w:t>
      </w:r>
      <w:r w:rsidRPr="00E51AB8">
        <w:rPr>
          <w:rFonts w:eastAsia="SimSun" w:cs="Times New Roman"/>
          <w:sz w:val="20"/>
          <w:szCs w:val="20"/>
        </w:rPr>
        <w:t xml:space="preserve">2020 earthquake data period can be seen that for the b-value due to an earthquake with a magnitude </w:t>
      </w:r>
      <w:r w:rsidR="00052CAD" w:rsidRPr="00052CAD">
        <w:rPr>
          <w:rStyle w:val="Style2"/>
          <w:rFonts w:cs="Times New Roman"/>
          <w:iCs/>
          <w:szCs w:val="20"/>
        </w:rPr>
        <w:t>≥</w:t>
      </w:r>
      <w:r w:rsidR="00052CAD">
        <w:rPr>
          <w:rStyle w:val="Style2"/>
          <w:rFonts w:cs="Times New Roman"/>
          <w:i/>
          <w:iCs/>
          <w:szCs w:val="20"/>
        </w:rPr>
        <w:t xml:space="preserve"> </w:t>
      </w:r>
      <w:r w:rsidRPr="00E51AB8">
        <w:rPr>
          <w:rFonts w:eastAsia="SimSun" w:cs="Times New Roman"/>
          <w:sz w:val="20"/>
          <w:szCs w:val="20"/>
        </w:rPr>
        <w:t xml:space="preserve">5 SR and a depth of </w:t>
      </w:r>
      <w:r w:rsidR="00052CAD" w:rsidRPr="00052CAD">
        <w:rPr>
          <w:rStyle w:val="Style2"/>
          <w:rFonts w:cs="Times New Roman"/>
          <w:iCs/>
          <w:szCs w:val="20"/>
        </w:rPr>
        <w:t>≤</w:t>
      </w:r>
      <w:r w:rsidR="00052CAD">
        <w:rPr>
          <w:rFonts w:eastAsia="SimSun" w:cs="Times New Roman"/>
          <w:sz w:val="20"/>
          <w:szCs w:val="20"/>
        </w:rPr>
        <w:t xml:space="preserve"> </w:t>
      </w:r>
      <w:r w:rsidRPr="00E51AB8">
        <w:rPr>
          <w:rFonts w:eastAsia="SimSun" w:cs="Times New Roman"/>
          <w:sz w:val="20"/>
          <w:szCs w:val="20"/>
        </w:rPr>
        <w:t>100 km the value is in</w:t>
      </w:r>
      <w:r w:rsidR="00E10BD5">
        <w:rPr>
          <w:rFonts w:eastAsia="SimSun" w:cs="Times New Roman"/>
          <w:sz w:val="20"/>
          <w:szCs w:val="20"/>
        </w:rPr>
        <w:t xml:space="preserve"> each region ranged from 0.8421-</w:t>
      </w:r>
      <w:r w:rsidRPr="00E51AB8">
        <w:rPr>
          <w:rFonts w:eastAsia="SimSun" w:cs="Times New Roman"/>
          <w:sz w:val="20"/>
          <w:szCs w:val="20"/>
        </w:rPr>
        <w:t xml:space="preserve">1.4477. Based on the map, the area that has the smallest b-value is in region 6, while the largest value is in </w:t>
      </w:r>
      <w:r w:rsidR="00CF45F3">
        <w:rPr>
          <w:rFonts w:eastAsia="SimSun" w:cs="Times New Roman"/>
          <w:sz w:val="20"/>
          <w:szCs w:val="20"/>
        </w:rPr>
        <w:t xml:space="preserve">region 2. Then for the peak </w:t>
      </w:r>
      <w:r w:rsidRPr="00E51AB8">
        <w:rPr>
          <w:rFonts w:eastAsia="SimSun" w:cs="Times New Roman"/>
          <w:sz w:val="20"/>
          <w:szCs w:val="20"/>
        </w:rPr>
        <w:t>ground acceleration value, the value is between 1.</w:t>
      </w:r>
      <w:r w:rsidR="00E10BD5">
        <w:rPr>
          <w:rFonts w:eastAsia="SimSun" w:cs="Times New Roman"/>
          <w:sz w:val="20"/>
          <w:szCs w:val="20"/>
        </w:rPr>
        <w:t>23-</w:t>
      </w:r>
      <w:r w:rsidRPr="00E51AB8">
        <w:rPr>
          <w:rFonts w:eastAsia="SimSun" w:cs="Times New Roman"/>
          <w:sz w:val="20"/>
          <w:szCs w:val="20"/>
        </w:rPr>
        <w:t xml:space="preserve">49.43 </w:t>
      </w:r>
      <w:proofErr w:type="gramStart"/>
      <w:r w:rsidRPr="00E51AB8">
        <w:rPr>
          <w:rFonts w:eastAsia="SimSun" w:cs="Times New Roman"/>
          <w:sz w:val="20"/>
          <w:szCs w:val="20"/>
        </w:rPr>
        <w:t>gal</w:t>
      </w:r>
      <w:proofErr w:type="gramEnd"/>
      <w:r w:rsidRPr="00E51AB8">
        <w:rPr>
          <w:rFonts w:eastAsia="SimSun" w:cs="Times New Roman"/>
          <w:sz w:val="20"/>
          <w:szCs w:val="20"/>
        </w:rPr>
        <w:t>. Based on the city/distri</w:t>
      </w:r>
      <w:r w:rsidR="00CF45F3">
        <w:rPr>
          <w:rFonts w:eastAsia="SimSun" w:cs="Times New Roman"/>
          <w:sz w:val="20"/>
          <w:szCs w:val="20"/>
        </w:rPr>
        <w:t xml:space="preserve">ct map, the highest peak ground </w:t>
      </w:r>
      <w:r w:rsidRPr="00E51AB8">
        <w:rPr>
          <w:rFonts w:eastAsia="SimSun" w:cs="Times New Roman"/>
          <w:sz w:val="20"/>
          <w:szCs w:val="20"/>
        </w:rPr>
        <w:t xml:space="preserve">acceleration value is in the </w:t>
      </w:r>
      <w:proofErr w:type="spellStart"/>
      <w:r w:rsidRPr="00E51AB8">
        <w:rPr>
          <w:rFonts w:eastAsia="SimSun" w:cs="Times New Roman"/>
          <w:sz w:val="20"/>
          <w:szCs w:val="20"/>
        </w:rPr>
        <w:t>Mentawai</w:t>
      </w:r>
      <w:proofErr w:type="spellEnd"/>
      <w:r w:rsidRPr="00E51AB8">
        <w:rPr>
          <w:rFonts w:eastAsia="SimSun" w:cs="Times New Roman"/>
          <w:sz w:val="20"/>
          <w:szCs w:val="20"/>
        </w:rPr>
        <w:t xml:space="preserve"> Islands Rege</w:t>
      </w:r>
      <w:r w:rsidR="00E10BD5">
        <w:rPr>
          <w:rFonts w:eastAsia="SimSun" w:cs="Times New Roman"/>
          <w:sz w:val="20"/>
          <w:szCs w:val="20"/>
        </w:rPr>
        <w:t>ncy, which is in the range of 9-</w:t>
      </w:r>
      <w:r w:rsidRPr="00E51AB8">
        <w:rPr>
          <w:rFonts w:eastAsia="SimSun" w:cs="Times New Roman"/>
          <w:sz w:val="20"/>
          <w:szCs w:val="20"/>
        </w:rPr>
        <w:t xml:space="preserve">29 gal, while the lowest value is in </w:t>
      </w:r>
      <w:proofErr w:type="spellStart"/>
      <w:r w:rsidRPr="00E51AB8">
        <w:rPr>
          <w:rFonts w:eastAsia="SimSun" w:cs="Times New Roman"/>
          <w:sz w:val="20"/>
          <w:szCs w:val="20"/>
        </w:rPr>
        <w:t>Dharmasr</w:t>
      </w:r>
      <w:r w:rsidR="00E10BD5">
        <w:rPr>
          <w:rFonts w:eastAsia="SimSun" w:cs="Times New Roman"/>
          <w:sz w:val="20"/>
          <w:szCs w:val="20"/>
        </w:rPr>
        <w:t>aya</w:t>
      </w:r>
      <w:proofErr w:type="spellEnd"/>
      <w:r w:rsidR="00E10BD5">
        <w:rPr>
          <w:rFonts w:eastAsia="SimSun" w:cs="Times New Roman"/>
          <w:sz w:val="20"/>
          <w:szCs w:val="20"/>
        </w:rPr>
        <w:t xml:space="preserve"> Regency, which is between 1-</w:t>
      </w:r>
      <w:r w:rsidRPr="00E51AB8">
        <w:rPr>
          <w:rFonts w:eastAsia="SimSun" w:cs="Times New Roman"/>
          <w:sz w:val="20"/>
          <w:szCs w:val="20"/>
        </w:rPr>
        <w:t xml:space="preserve">3 </w:t>
      </w:r>
      <w:proofErr w:type="gramStart"/>
      <w:r w:rsidRPr="00E51AB8">
        <w:rPr>
          <w:rFonts w:eastAsia="SimSun" w:cs="Times New Roman"/>
          <w:sz w:val="20"/>
          <w:szCs w:val="20"/>
        </w:rPr>
        <w:t>gal</w:t>
      </w:r>
      <w:proofErr w:type="gramEnd"/>
      <w:r w:rsidRPr="00E51AB8">
        <w:rPr>
          <w:rFonts w:eastAsia="SimSun" w:cs="Times New Roman"/>
          <w:sz w:val="20"/>
          <w:szCs w:val="20"/>
        </w:rPr>
        <w:t>.</w:t>
      </w:r>
    </w:p>
    <w:sdt>
      <w:sdtPr>
        <w:id w:val="1519576160"/>
      </w:sdtPr>
      <w:sdtEndPr>
        <w:rPr>
          <w:lang w:val="en-US"/>
        </w:rPr>
      </w:sdtEndPr>
      <w:sdtContent>
        <w:p w:rsidR="009E4B8F" w:rsidRDefault="009E4B8F" w:rsidP="009E4B8F">
          <w:pPr>
            <w:pStyle w:val="Acknowledgement"/>
            <w:rPr>
              <w:lang w:val="en-US"/>
            </w:rPr>
          </w:pPr>
          <w:r>
            <w:rPr>
              <w:lang w:val="en-US"/>
            </w:rPr>
            <w:t xml:space="preserve">ACKNOWLEDGMENT </w:t>
          </w:r>
        </w:p>
      </w:sdtContent>
    </w:sdt>
    <w:p w:rsidR="009E4B8F" w:rsidRDefault="005816BA" w:rsidP="009E4B8F">
      <w:pPr>
        <w:spacing w:line="240" w:lineRule="auto"/>
        <w:jc w:val="both"/>
        <w:rPr>
          <w:rFonts w:cs="Times New Roman"/>
          <w:sz w:val="20"/>
          <w:szCs w:val="20"/>
        </w:rPr>
      </w:pPr>
      <w:r w:rsidRPr="005816BA">
        <w:rPr>
          <w:rFonts w:eastAsia="SimSun" w:cs="Times New Roman"/>
          <w:sz w:val="20"/>
          <w:szCs w:val="20"/>
        </w:rPr>
        <w:t>The authors would like to thank the</w:t>
      </w:r>
      <w:r>
        <w:rPr>
          <w:rFonts w:eastAsia="SimSun" w:cs="Times New Roman"/>
          <w:sz w:val="20"/>
          <w:szCs w:val="20"/>
        </w:rPr>
        <w:t xml:space="preserve"> </w:t>
      </w:r>
      <w:proofErr w:type="spellStart"/>
      <w:r w:rsidRPr="00AB5496">
        <w:rPr>
          <w:rFonts w:eastAsia="SimSun" w:cs="Times New Roman"/>
          <w:sz w:val="20"/>
          <w:szCs w:val="20"/>
        </w:rPr>
        <w:t>Badan</w:t>
      </w:r>
      <w:proofErr w:type="spellEnd"/>
      <w:r w:rsidRPr="00AB5496">
        <w:rPr>
          <w:rFonts w:eastAsia="SimSun" w:cs="Times New Roman"/>
          <w:sz w:val="20"/>
          <w:szCs w:val="20"/>
        </w:rPr>
        <w:t xml:space="preserve"> </w:t>
      </w:r>
      <w:proofErr w:type="spellStart"/>
      <w:r w:rsidRPr="00AB5496">
        <w:rPr>
          <w:rFonts w:eastAsia="SimSun" w:cs="Times New Roman"/>
          <w:sz w:val="20"/>
          <w:szCs w:val="20"/>
        </w:rPr>
        <w:t>Meteorologi</w:t>
      </w:r>
      <w:proofErr w:type="spellEnd"/>
      <w:r w:rsidRPr="00AB5496">
        <w:rPr>
          <w:rFonts w:eastAsia="SimSun" w:cs="Times New Roman"/>
          <w:sz w:val="20"/>
          <w:szCs w:val="20"/>
        </w:rPr>
        <w:t xml:space="preserve"> </w:t>
      </w:r>
      <w:proofErr w:type="spellStart"/>
      <w:r w:rsidRPr="00AB5496">
        <w:rPr>
          <w:rFonts w:eastAsia="SimSun" w:cs="Times New Roman"/>
          <w:sz w:val="20"/>
          <w:szCs w:val="20"/>
        </w:rPr>
        <w:t>Klimatologi</w:t>
      </w:r>
      <w:proofErr w:type="spellEnd"/>
      <w:r w:rsidRPr="00AB5496">
        <w:rPr>
          <w:rFonts w:eastAsia="SimSun" w:cs="Times New Roman"/>
          <w:sz w:val="20"/>
          <w:szCs w:val="20"/>
        </w:rPr>
        <w:t xml:space="preserve"> </w:t>
      </w:r>
      <w:proofErr w:type="spellStart"/>
      <w:r w:rsidRPr="00AB5496">
        <w:rPr>
          <w:rFonts w:eastAsia="SimSun" w:cs="Times New Roman"/>
          <w:sz w:val="20"/>
          <w:szCs w:val="20"/>
        </w:rPr>
        <w:t>dan</w:t>
      </w:r>
      <w:proofErr w:type="spellEnd"/>
      <w:r w:rsidRPr="00AB5496">
        <w:rPr>
          <w:rFonts w:eastAsia="SimSun" w:cs="Times New Roman"/>
          <w:sz w:val="20"/>
          <w:szCs w:val="20"/>
        </w:rPr>
        <w:t xml:space="preserve"> </w:t>
      </w:r>
      <w:proofErr w:type="spellStart"/>
      <w:r w:rsidRPr="00AB5496">
        <w:rPr>
          <w:rFonts w:eastAsia="SimSun" w:cs="Times New Roman"/>
          <w:sz w:val="20"/>
          <w:szCs w:val="20"/>
        </w:rPr>
        <w:t>Geofisika</w:t>
      </w:r>
      <w:proofErr w:type="spellEnd"/>
      <w:r w:rsidRPr="00AB5496">
        <w:rPr>
          <w:rFonts w:eastAsia="SimSun" w:cs="Times New Roman"/>
          <w:sz w:val="20"/>
          <w:szCs w:val="20"/>
        </w:rPr>
        <w:t xml:space="preserve"> </w:t>
      </w:r>
      <w:r>
        <w:rPr>
          <w:rFonts w:eastAsia="SimSun" w:cs="Times New Roman"/>
          <w:sz w:val="20"/>
          <w:szCs w:val="20"/>
        </w:rPr>
        <w:t xml:space="preserve">(BMKG) and the </w:t>
      </w:r>
      <w:r w:rsidRPr="005816BA">
        <w:rPr>
          <w:rFonts w:eastAsia="SimSun" w:cs="Times New Roman"/>
          <w:sz w:val="20"/>
          <w:szCs w:val="20"/>
        </w:rPr>
        <w:t xml:space="preserve">National Earthquake Information Center </w:t>
      </w:r>
      <w:r>
        <w:rPr>
          <w:rFonts w:eastAsia="SimSun" w:cs="Times New Roman"/>
          <w:sz w:val="20"/>
          <w:szCs w:val="20"/>
        </w:rPr>
        <w:t xml:space="preserve">U.S. Geological Survey (NEIC/USGS) </w:t>
      </w:r>
      <w:r w:rsidRPr="005816BA">
        <w:rPr>
          <w:rFonts w:eastAsia="SimSun" w:cs="Times New Roman"/>
          <w:sz w:val="20"/>
          <w:szCs w:val="20"/>
        </w:rPr>
        <w:t xml:space="preserve">website which has provided and continues to update the earthquake data catalog especially in the province of West Sumatra which has been used in this study. The authors also thank the MATLAB R2007b and </w:t>
      </w:r>
      <w:proofErr w:type="spellStart"/>
      <w:r w:rsidRPr="005816BA">
        <w:rPr>
          <w:rFonts w:eastAsia="SimSun" w:cs="Times New Roman"/>
          <w:sz w:val="20"/>
          <w:szCs w:val="20"/>
        </w:rPr>
        <w:t>ArcGis</w:t>
      </w:r>
      <w:proofErr w:type="spellEnd"/>
      <w:r w:rsidRPr="005816BA">
        <w:rPr>
          <w:rFonts w:eastAsia="SimSun" w:cs="Times New Roman"/>
          <w:sz w:val="20"/>
          <w:szCs w:val="20"/>
        </w:rPr>
        <w:t xml:space="preserve"> 10.8 applications which have provided software to assist the author in </w:t>
      </w:r>
      <w:r w:rsidR="004A0652">
        <w:rPr>
          <w:rFonts w:eastAsia="SimSun" w:cs="Times New Roman"/>
          <w:sz w:val="20"/>
          <w:szCs w:val="20"/>
        </w:rPr>
        <w:t xml:space="preserve">the </w:t>
      </w:r>
      <w:r w:rsidRPr="005816BA">
        <w:rPr>
          <w:rFonts w:eastAsia="SimSun" w:cs="Times New Roman"/>
          <w:sz w:val="20"/>
          <w:szCs w:val="20"/>
        </w:rPr>
        <w:t>data processing.</w:t>
      </w:r>
    </w:p>
    <w:sdt>
      <w:sdtPr>
        <w:id w:val="92756881"/>
        <w:text/>
      </w:sdtPr>
      <w:sdtContent>
        <w:p w:rsidR="002C1D98" w:rsidRDefault="0032099D">
          <w:pPr>
            <w:pStyle w:val="Acknowledgement"/>
          </w:pPr>
          <w:r>
            <w:rPr>
              <w:lang w:val="en-US"/>
            </w:rPr>
            <w:t>REFERENCES</w:t>
          </w:r>
        </w:p>
      </w:sdtContent>
    </w:sdt>
    <w:p w:rsidR="0095058C" w:rsidRPr="003B4CEA" w:rsidRDefault="0095058C" w:rsidP="0095058C">
      <w:pPr>
        <w:pStyle w:val="IJASEITReferenceItem"/>
        <w:spacing w:after="0" w:line="260" w:lineRule="auto"/>
        <w:ind w:left="431" w:hanging="431"/>
        <w:rPr>
          <w:sz w:val="20"/>
        </w:rPr>
      </w:pPr>
      <w:proofErr w:type="spellStart"/>
      <w:r w:rsidRPr="003B4CEA">
        <w:rPr>
          <w:sz w:val="20"/>
          <w:szCs w:val="20"/>
        </w:rPr>
        <w:t>Sakdiyah</w:t>
      </w:r>
      <w:proofErr w:type="spellEnd"/>
      <w:r w:rsidRPr="003B4CEA">
        <w:rPr>
          <w:sz w:val="20"/>
          <w:szCs w:val="20"/>
        </w:rPr>
        <w:t xml:space="preserve">, K., &amp; </w:t>
      </w:r>
      <w:proofErr w:type="spellStart"/>
      <w:r w:rsidRPr="003B4CEA">
        <w:rPr>
          <w:sz w:val="20"/>
          <w:szCs w:val="20"/>
        </w:rPr>
        <w:t>Choiruddin</w:t>
      </w:r>
      <w:proofErr w:type="spellEnd"/>
      <w:r w:rsidRPr="003B4CEA">
        <w:rPr>
          <w:sz w:val="20"/>
          <w:szCs w:val="20"/>
        </w:rPr>
        <w:t xml:space="preserve">, A. (2020). Model Inhomogeneous Log-Gaussian Cox Process </w:t>
      </w:r>
      <w:proofErr w:type="gramStart"/>
      <w:r w:rsidRPr="003B4CEA">
        <w:rPr>
          <w:sz w:val="20"/>
          <w:szCs w:val="20"/>
        </w:rPr>
        <w:t>( LGCP</w:t>
      </w:r>
      <w:proofErr w:type="gramEnd"/>
      <w:r w:rsidRPr="003B4CEA">
        <w:rPr>
          <w:sz w:val="20"/>
          <w:szCs w:val="20"/>
        </w:rPr>
        <w:t xml:space="preserve"> ) </w:t>
      </w:r>
      <w:proofErr w:type="spellStart"/>
      <w:r w:rsidRPr="003B4CEA">
        <w:rPr>
          <w:sz w:val="20"/>
          <w:szCs w:val="20"/>
        </w:rPr>
        <w:t>untuk</w:t>
      </w:r>
      <w:proofErr w:type="spellEnd"/>
      <w:r w:rsidRPr="003B4CEA">
        <w:rPr>
          <w:sz w:val="20"/>
          <w:szCs w:val="20"/>
        </w:rPr>
        <w:t xml:space="preserve"> </w:t>
      </w:r>
      <w:proofErr w:type="spellStart"/>
      <w:r w:rsidRPr="003B4CEA">
        <w:rPr>
          <w:sz w:val="20"/>
          <w:szCs w:val="20"/>
        </w:rPr>
        <w:t>Pemetaan</w:t>
      </w:r>
      <w:proofErr w:type="spellEnd"/>
      <w:r w:rsidRPr="003B4CEA">
        <w:rPr>
          <w:sz w:val="20"/>
          <w:szCs w:val="20"/>
        </w:rPr>
        <w:t xml:space="preserve"> </w:t>
      </w:r>
      <w:proofErr w:type="spellStart"/>
      <w:r w:rsidRPr="003B4CEA">
        <w:rPr>
          <w:sz w:val="20"/>
          <w:szCs w:val="20"/>
        </w:rPr>
        <w:t>Risiko</w:t>
      </w:r>
      <w:proofErr w:type="spellEnd"/>
      <w:r w:rsidRPr="003B4CEA">
        <w:rPr>
          <w:sz w:val="20"/>
          <w:szCs w:val="20"/>
        </w:rPr>
        <w:t xml:space="preserve"> </w:t>
      </w:r>
      <w:proofErr w:type="spellStart"/>
      <w:r w:rsidRPr="003B4CEA">
        <w:rPr>
          <w:sz w:val="20"/>
          <w:szCs w:val="20"/>
        </w:rPr>
        <w:t>Gempa</w:t>
      </w:r>
      <w:proofErr w:type="spellEnd"/>
      <w:r w:rsidRPr="003B4CEA">
        <w:rPr>
          <w:sz w:val="20"/>
          <w:szCs w:val="20"/>
        </w:rPr>
        <w:t xml:space="preserve"> </w:t>
      </w:r>
      <w:proofErr w:type="spellStart"/>
      <w:r w:rsidRPr="003B4CEA">
        <w:rPr>
          <w:sz w:val="20"/>
          <w:szCs w:val="20"/>
        </w:rPr>
        <w:t>Bumi</w:t>
      </w:r>
      <w:proofErr w:type="spellEnd"/>
      <w:r w:rsidRPr="003B4CEA">
        <w:rPr>
          <w:sz w:val="20"/>
          <w:szCs w:val="20"/>
        </w:rPr>
        <w:t xml:space="preserve"> </w:t>
      </w:r>
      <w:proofErr w:type="spellStart"/>
      <w:r w:rsidRPr="003B4CEA">
        <w:rPr>
          <w:sz w:val="20"/>
          <w:szCs w:val="20"/>
        </w:rPr>
        <w:t>di</w:t>
      </w:r>
      <w:proofErr w:type="spellEnd"/>
      <w:r w:rsidRPr="003B4CEA">
        <w:rPr>
          <w:sz w:val="20"/>
          <w:szCs w:val="20"/>
        </w:rPr>
        <w:t xml:space="preserve"> Sumatra. </w:t>
      </w:r>
      <w:proofErr w:type="spellStart"/>
      <w:r w:rsidRPr="003B4CEA">
        <w:rPr>
          <w:i/>
          <w:iCs/>
          <w:sz w:val="20"/>
          <w:szCs w:val="20"/>
        </w:rPr>
        <w:t>Jurnal</w:t>
      </w:r>
      <w:proofErr w:type="spellEnd"/>
      <w:r w:rsidRPr="003B4CEA">
        <w:rPr>
          <w:i/>
          <w:iCs/>
          <w:sz w:val="20"/>
          <w:szCs w:val="20"/>
        </w:rPr>
        <w:t xml:space="preserve"> </w:t>
      </w:r>
      <w:proofErr w:type="spellStart"/>
      <w:r w:rsidRPr="003B4CEA">
        <w:rPr>
          <w:i/>
          <w:iCs/>
          <w:sz w:val="20"/>
          <w:szCs w:val="20"/>
        </w:rPr>
        <w:t>Sains</w:t>
      </w:r>
      <w:proofErr w:type="spellEnd"/>
      <w:r w:rsidRPr="003B4CEA">
        <w:rPr>
          <w:i/>
          <w:iCs/>
          <w:sz w:val="20"/>
          <w:szCs w:val="20"/>
        </w:rPr>
        <w:t xml:space="preserve"> </w:t>
      </w:r>
      <w:proofErr w:type="spellStart"/>
      <w:r w:rsidRPr="003B4CEA">
        <w:rPr>
          <w:i/>
          <w:iCs/>
          <w:sz w:val="20"/>
          <w:szCs w:val="20"/>
        </w:rPr>
        <w:t>dan</w:t>
      </w:r>
      <w:proofErr w:type="spellEnd"/>
      <w:r w:rsidRPr="003B4CEA">
        <w:rPr>
          <w:i/>
          <w:iCs/>
          <w:sz w:val="20"/>
          <w:szCs w:val="20"/>
        </w:rPr>
        <w:t xml:space="preserve"> </w:t>
      </w:r>
      <w:proofErr w:type="spellStart"/>
      <w:r w:rsidRPr="003B4CEA">
        <w:rPr>
          <w:i/>
          <w:iCs/>
          <w:sz w:val="20"/>
          <w:szCs w:val="20"/>
        </w:rPr>
        <w:t>Seni</w:t>
      </w:r>
      <w:proofErr w:type="spellEnd"/>
      <w:r w:rsidRPr="003B4CEA">
        <w:rPr>
          <w:i/>
          <w:iCs/>
          <w:sz w:val="20"/>
          <w:szCs w:val="20"/>
        </w:rPr>
        <w:t xml:space="preserve"> ITS</w:t>
      </w:r>
      <w:r w:rsidRPr="003B4CEA">
        <w:rPr>
          <w:sz w:val="20"/>
          <w:szCs w:val="20"/>
        </w:rPr>
        <w:t xml:space="preserve">, </w:t>
      </w:r>
      <w:r w:rsidRPr="003B4CEA">
        <w:rPr>
          <w:i/>
          <w:iCs/>
          <w:sz w:val="20"/>
          <w:szCs w:val="20"/>
        </w:rPr>
        <w:t>9</w:t>
      </w:r>
      <w:r w:rsidRPr="003B4CEA">
        <w:rPr>
          <w:sz w:val="20"/>
          <w:szCs w:val="20"/>
        </w:rPr>
        <w:t>(2), 108–114.</w:t>
      </w:r>
    </w:p>
    <w:p w:rsidR="0095058C" w:rsidRPr="003B4CEA" w:rsidRDefault="0095058C" w:rsidP="0095058C">
      <w:pPr>
        <w:pStyle w:val="IJASEITReferenceItem"/>
        <w:spacing w:after="0" w:line="260" w:lineRule="auto"/>
        <w:ind w:left="431" w:hanging="431"/>
        <w:rPr>
          <w:sz w:val="20"/>
        </w:rPr>
      </w:pPr>
      <w:r w:rsidRPr="003B4CEA">
        <w:rPr>
          <w:sz w:val="20"/>
          <w:szCs w:val="20"/>
        </w:rPr>
        <w:t xml:space="preserve">Newcomb, K. R., &amp; McCann, W. R. (1987). Seismic History and </w:t>
      </w:r>
      <w:proofErr w:type="spellStart"/>
      <w:r w:rsidRPr="003B4CEA">
        <w:rPr>
          <w:sz w:val="20"/>
          <w:szCs w:val="20"/>
        </w:rPr>
        <w:t>Seismotectonics</w:t>
      </w:r>
      <w:proofErr w:type="spellEnd"/>
      <w:r w:rsidRPr="003B4CEA">
        <w:rPr>
          <w:sz w:val="20"/>
          <w:szCs w:val="20"/>
        </w:rPr>
        <w:t xml:space="preserve"> of the </w:t>
      </w:r>
      <w:proofErr w:type="spellStart"/>
      <w:r w:rsidRPr="003B4CEA">
        <w:rPr>
          <w:sz w:val="20"/>
          <w:szCs w:val="20"/>
        </w:rPr>
        <w:t>Sunda</w:t>
      </w:r>
      <w:proofErr w:type="spellEnd"/>
      <w:r w:rsidRPr="003B4CEA">
        <w:rPr>
          <w:sz w:val="20"/>
          <w:szCs w:val="20"/>
        </w:rPr>
        <w:t xml:space="preserve"> Arc. </w:t>
      </w:r>
      <w:r w:rsidRPr="003B4CEA">
        <w:rPr>
          <w:i/>
          <w:iCs/>
          <w:sz w:val="20"/>
          <w:szCs w:val="20"/>
        </w:rPr>
        <w:t>Journal of Geophysical Research</w:t>
      </w:r>
      <w:r w:rsidRPr="003B4CEA">
        <w:rPr>
          <w:sz w:val="20"/>
          <w:szCs w:val="20"/>
        </w:rPr>
        <w:t xml:space="preserve">, </w:t>
      </w:r>
      <w:r w:rsidRPr="003B4CEA">
        <w:rPr>
          <w:i/>
          <w:iCs/>
          <w:sz w:val="20"/>
          <w:szCs w:val="20"/>
        </w:rPr>
        <w:t>92</w:t>
      </w:r>
      <w:r w:rsidRPr="003B4CEA">
        <w:rPr>
          <w:sz w:val="20"/>
          <w:szCs w:val="20"/>
        </w:rPr>
        <w:t>(B1), 421–439.</w:t>
      </w:r>
    </w:p>
    <w:p w:rsidR="0095058C" w:rsidRPr="003B4CEA" w:rsidRDefault="0095058C" w:rsidP="0095058C">
      <w:pPr>
        <w:pStyle w:val="IJASEITReferenceItem"/>
        <w:spacing w:after="0" w:line="260" w:lineRule="auto"/>
        <w:ind w:left="431" w:hanging="431"/>
        <w:rPr>
          <w:sz w:val="20"/>
        </w:rPr>
      </w:pPr>
      <w:proofErr w:type="spellStart"/>
      <w:r w:rsidRPr="003B4CEA">
        <w:rPr>
          <w:sz w:val="20"/>
          <w:szCs w:val="20"/>
        </w:rPr>
        <w:t>Madlazim</w:t>
      </w:r>
      <w:proofErr w:type="spellEnd"/>
      <w:r w:rsidRPr="003B4CEA">
        <w:rPr>
          <w:sz w:val="20"/>
          <w:szCs w:val="20"/>
        </w:rPr>
        <w:t xml:space="preserve">, M. (2013). </w:t>
      </w:r>
      <w:proofErr w:type="spellStart"/>
      <w:r w:rsidRPr="003B4CEA">
        <w:rPr>
          <w:sz w:val="20"/>
          <w:szCs w:val="20"/>
        </w:rPr>
        <w:t>Kajian</w:t>
      </w:r>
      <w:proofErr w:type="spellEnd"/>
      <w:r w:rsidRPr="003B4CEA">
        <w:rPr>
          <w:sz w:val="20"/>
          <w:szCs w:val="20"/>
        </w:rPr>
        <w:t xml:space="preserve"> </w:t>
      </w:r>
      <w:proofErr w:type="spellStart"/>
      <w:r w:rsidRPr="003B4CEA">
        <w:rPr>
          <w:sz w:val="20"/>
          <w:szCs w:val="20"/>
        </w:rPr>
        <w:t>Awal</w:t>
      </w:r>
      <w:proofErr w:type="spellEnd"/>
      <w:r w:rsidRPr="003B4CEA">
        <w:rPr>
          <w:sz w:val="20"/>
          <w:szCs w:val="20"/>
        </w:rPr>
        <w:t xml:space="preserve"> </w:t>
      </w:r>
      <w:proofErr w:type="spellStart"/>
      <w:r w:rsidRPr="003B4CEA">
        <w:rPr>
          <w:sz w:val="20"/>
          <w:szCs w:val="20"/>
        </w:rPr>
        <w:t>tentang</w:t>
      </w:r>
      <w:proofErr w:type="spellEnd"/>
      <w:r w:rsidRPr="003B4CEA">
        <w:rPr>
          <w:sz w:val="20"/>
          <w:szCs w:val="20"/>
        </w:rPr>
        <w:t xml:space="preserve"> b Value </w:t>
      </w:r>
      <w:proofErr w:type="spellStart"/>
      <w:r w:rsidRPr="003B4CEA">
        <w:rPr>
          <w:sz w:val="20"/>
          <w:szCs w:val="20"/>
        </w:rPr>
        <w:t>Gempa</w:t>
      </w:r>
      <w:proofErr w:type="spellEnd"/>
      <w:r w:rsidRPr="003B4CEA">
        <w:rPr>
          <w:sz w:val="20"/>
          <w:szCs w:val="20"/>
        </w:rPr>
        <w:t xml:space="preserve"> </w:t>
      </w:r>
      <w:proofErr w:type="spellStart"/>
      <w:r w:rsidRPr="003B4CEA">
        <w:rPr>
          <w:sz w:val="20"/>
          <w:szCs w:val="20"/>
        </w:rPr>
        <w:t>Bumi</w:t>
      </w:r>
      <w:proofErr w:type="spellEnd"/>
      <w:r w:rsidRPr="003B4CEA">
        <w:rPr>
          <w:sz w:val="20"/>
          <w:szCs w:val="20"/>
        </w:rPr>
        <w:t xml:space="preserve"> </w:t>
      </w:r>
      <w:proofErr w:type="spellStart"/>
      <w:r w:rsidRPr="003B4CEA">
        <w:rPr>
          <w:sz w:val="20"/>
          <w:szCs w:val="20"/>
        </w:rPr>
        <w:t>di</w:t>
      </w:r>
      <w:proofErr w:type="spellEnd"/>
      <w:r w:rsidRPr="003B4CEA">
        <w:rPr>
          <w:sz w:val="20"/>
          <w:szCs w:val="20"/>
        </w:rPr>
        <w:t xml:space="preserve"> Sumatra </w:t>
      </w:r>
      <w:proofErr w:type="spellStart"/>
      <w:r w:rsidRPr="003B4CEA">
        <w:rPr>
          <w:sz w:val="20"/>
          <w:szCs w:val="20"/>
        </w:rPr>
        <w:t>Tahun</w:t>
      </w:r>
      <w:proofErr w:type="spellEnd"/>
      <w:r w:rsidRPr="003B4CEA">
        <w:rPr>
          <w:sz w:val="20"/>
          <w:szCs w:val="20"/>
        </w:rPr>
        <w:t xml:space="preserve"> 1964-2013. </w:t>
      </w:r>
      <w:proofErr w:type="spellStart"/>
      <w:r w:rsidRPr="003B4CEA">
        <w:rPr>
          <w:i/>
          <w:iCs/>
          <w:sz w:val="20"/>
          <w:szCs w:val="20"/>
        </w:rPr>
        <w:t>Jurnal</w:t>
      </w:r>
      <w:proofErr w:type="spellEnd"/>
      <w:r w:rsidRPr="003B4CEA">
        <w:rPr>
          <w:i/>
          <w:iCs/>
          <w:sz w:val="20"/>
          <w:szCs w:val="20"/>
        </w:rPr>
        <w:t xml:space="preserve"> </w:t>
      </w:r>
      <w:proofErr w:type="spellStart"/>
      <w:r w:rsidRPr="003B4CEA">
        <w:rPr>
          <w:i/>
          <w:iCs/>
          <w:sz w:val="20"/>
          <w:szCs w:val="20"/>
        </w:rPr>
        <w:t>Penelitian</w:t>
      </w:r>
      <w:proofErr w:type="spellEnd"/>
      <w:r w:rsidRPr="003B4CEA">
        <w:rPr>
          <w:i/>
          <w:iCs/>
          <w:sz w:val="20"/>
          <w:szCs w:val="20"/>
        </w:rPr>
        <w:t xml:space="preserve"> </w:t>
      </w:r>
      <w:proofErr w:type="spellStart"/>
      <w:r w:rsidRPr="003B4CEA">
        <w:rPr>
          <w:i/>
          <w:iCs/>
          <w:sz w:val="20"/>
          <w:szCs w:val="20"/>
        </w:rPr>
        <w:t>Fisika</w:t>
      </w:r>
      <w:proofErr w:type="spellEnd"/>
      <w:r w:rsidRPr="003B4CEA">
        <w:rPr>
          <w:i/>
          <w:iCs/>
          <w:sz w:val="20"/>
          <w:szCs w:val="20"/>
        </w:rPr>
        <w:t xml:space="preserve"> Dan </w:t>
      </w:r>
      <w:proofErr w:type="spellStart"/>
      <w:r w:rsidRPr="003B4CEA">
        <w:rPr>
          <w:i/>
          <w:iCs/>
          <w:sz w:val="20"/>
          <w:szCs w:val="20"/>
        </w:rPr>
        <w:t>Aplikasinya</w:t>
      </w:r>
      <w:proofErr w:type="spellEnd"/>
      <w:r w:rsidRPr="003B4CEA">
        <w:rPr>
          <w:i/>
          <w:iCs/>
          <w:sz w:val="20"/>
          <w:szCs w:val="20"/>
        </w:rPr>
        <w:t xml:space="preserve"> (JPFA)</w:t>
      </w:r>
      <w:r w:rsidRPr="003B4CEA">
        <w:rPr>
          <w:sz w:val="20"/>
          <w:szCs w:val="20"/>
        </w:rPr>
        <w:t xml:space="preserve">, </w:t>
      </w:r>
      <w:r w:rsidRPr="003B4CEA">
        <w:rPr>
          <w:i/>
          <w:iCs/>
          <w:sz w:val="20"/>
          <w:szCs w:val="20"/>
        </w:rPr>
        <w:t>3</w:t>
      </w:r>
      <w:r w:rsidRPr="003B4CEA">
        <w:rPr>
          <w:sz w:val="20"/>
          <w:szCs w:val="20"/>
        </w:rPr>
        <w:t>(1), 41–46.</w:t>
      </w:r>
    </w:p>
    <w:p w:rsidR="004210A6" w:rsidRPr="003B4CEA" w:rsidRDefault="0095058C" w:rsidP="0095058C">
      <w:pPr>
        <w:pStyle w:val="IJASEITReferenceItem"/>
        <w:spacing w:after="0" w:line="260" w:lineRule="auto"/>
        <w:ind w:left="431" w:hanging="431"/>
        <w:rPr>
          <w:sz w:val="20"/>
        </w:rPr>
      </w:pPr>
      <w:proofErr w:type="spellStart"/>
      <w:r w:rsidRPr="003B4CEA">
        <w:rPr>
          <w:sz w:val="20"/>
          <w:szCs w:val="20"/>
        </w:rPr>
        <w:t>Diament</w:t>
      </w:r>
      <w:proofErr w:type="spellEnd"/>
      <w:r w:rsidRPr="003B4CEA">
        <w:rPr>
          <w:sz w:val="20"/>
          <w:szCs w:val="20"/>
        </w:rPr>
        <w:t xml:space="preserve">, M., </w:t>
      </w:r>
      <w:proofErr w:type="spellStart"/>
      <w:r w:rsidRPr="003B4CEA">
        <w:rPr>
          <w:sz w:val="20"/>
          <w:szCs w:val="20"/>
        </w:rPr>
        <w:t>dkk</w:t>
      </w:r>
      <w:proofErr w:type="spellEnd"/>
      <w:r w:rsidRPr="003B4CEA">
        <w:rPr>
          <w:sz w:val="20"/>
          <w:szCs w:val="20"/>
        </w:rPr>
        <w:t xml:space="preserve">. (1992). </w:t>
      </w:r>
      <w:proofErr w:type="spellStart"/>
      <w:r w:rsidRPr="003B4CEA">
        <w:rPr>
          <w:sz w:val="20"/>
          <w:szCs w:val="20"/>
        </w:rPr>
        <w:t>Mentawai</w:t>
      </w:r>
      <w:proofErr w:type="spellEnd"/>
      <w:r w:rsidRPr="003B4CEA">
        <w:rPr>
          <w:sz w:val="20"/>
          <w:szCs w:val="20"/>
        </w:rPr>
        <w:t xml:space="preserve"> Fault Zone </w:t>
      </w:r>
      <w:proofErr w:type="gramStart"/>
      <w:r w:rsidRPr="003B4CEA">
        <w:rPr>
          <w:sz w:val="20"/>
          <w:szCs w:val="20"/>
        </w:rPr>
        <w:t>Off</w:t>
      </w:r>
      <w:proofErr w:type="gramEnd"/>
      <w:r w:rsidRPr="003B4CEA">
        <w:rPr>
          <w:sz w:val="20"/>
          <w:szCs w:val="20"/>
        </w:rPr>
        <w:t xml:space="preserve"> Sumatra: A New Key to the Geodynamics of Western Indonesia. </w:t>
      </w:r>
      <w:r w:rsidRPr="003B4CEA">
        <w:rPr>
          <w:i/>
          <w:iCs/>
          <w:sz w:val="20"/>
          <w:szCs w:val="20"/>
        </w:rPr>
        <w:t>Geology</w:t>
      </w:r>
      <w:r w:rsidRPr="003B4CEA">
        <w:rPr>
          <w:sz w:val="20"/>
          <w:szCs w:val="20"/>
        </w:rPr>
        <w:t xml:space="preserve">, </w:t>
      </w:r>
      <w:r w:rsidRPr="003B4CEA">
        <w:rPr>
          <w:i/>
          <w:iCs/>
          <w:sz w:val="20"/>
          <w:szCs w:val="20"/>
        </w:rPr>
        <w:t>20</w:t>
      </w:r>
      <w:r w:rsidRPr="003B4CEA">
        <w:rPr>
          <w:sz w:val="20"/>
          <w:szCs w:val="20"/>
        </w:rPr>
        <w:t xml:space="preserve">(3), 259–262. </w:t>
      </w:r>
    </w:p>
    <w:p w:rsidR="0095058C" w:rsidRPr="003B4CEA" w:rsidRDefault="0095058C" w:rsidP="0095058C">
      <w:pPr>
        <w:pStyle w:val="IJASEITReferenceItem"/>
        <w:spacing w:after="0" w:line="260" w:lineRule="auto"/>
        <w:ind w:left="431" w:hanging="431"/>
        <w:rPr>
          <w:sz w:val="20"/>
        </w:rPr>
      </w:pPr>
      <w:proofErr w:type="spellStart"/>
      <w:r w:rsidRPr="003B4CEA">
        <w:rPr>
          <w:sz w:val="20"/>
        </w:rPr>
        <w:t>Triyono</w:t>
      </w:r>
      <w:proofErr w:type="spellEnd"/>
      <w:r w:rsidRPr="003B4CEA">
        <w:rPr>
          <w:sz w:val="20"/>
        </w:rPr>
        <w:t xml:space="preserve">, R. (2015). </w:t>
      </w:r>
      <w:proofErr w:type="spellStart"/>
      <w:r w:rsidR="004210A6" w:rsidRPr="003B4CEA">
        <w:rPr>
          <w:sz w:val="20"/>
          <w:lang w:val="en-AU"/>
        </w:rPr>
        <w:t>Ancaman</w:t>
      </w:r>
      <w:proofErr w:type="spellEnd"/>
      <w:r w:rsidR="004210A6" w:rsidRPr="003B4CEA">
        <w:rPr>
          <w:sz w:val="20"/>
          <w:lang w:val="en-AU"/>
        </w:rPr>
        <w:t xml:space="preserve"> </w:t>
      </w:r>
      <w:proofErr w:type="spellStart"/>
      <w:r w:rsidR="004210A6" w:rsidRPr="003B4CEA">
        <w:rPr>
          <w:sz w:val="20"/>
          <w:lang w:val="en-AU"/>
        </w:rPr>
        <w:t>Gempabumi</w:t>
      </w:r>
      <w:proofErr w:type="spellEnd"/>
      <w:r w:rsidR="004210A6" w:rsidRPr="003B4CEA">
        <w:rPr>
          <w:sz w:val="20"/>
          <w:lang w:val="en-AU"/>
        </w:rPr>
        <w:t xml:space="preserve"> </w:t>
      </w:r>
      <w:proofErr w:type="spellStart"/>
      <w:r w:rsidR="004210A6" w:rsidRPr="003B4CEA">
        <w:rPr>
          <w:sz w:val="20"/>
          <w:lang w:val="en-AU"/>
        </w:rPr>
        <w:t>di</w:t>
      </w:r>
      <w:proofErr w:type="spellEnd"/>
      <w:r w:rsidR="004210A6" w:rsidRPr="003B4CEA">
        <w:rPr>
          <w:sz w:val="20"/>
          <w:lang w:val="en-AU"/>
        </w:rPr>
        <w:t xml:space="preserve"> Sumatera </w:t>
      </w:r>
      <w:proofErr w:type="spellStart"/>
      <w:r w:rsidR="004210A6" w:rsidRPr="003B4CEA">
        <w:rPr>
          <w:sz w:val="20"/>
          <w:lang w:val="en-AU"/>
        </w:rPr>
        <w:t>Tidak</w:t>
      </w:r>
      <w:proofErr w:type="spellEnd"/>
      <w:r w:rsidR="004210A6" w:rsidRPr="003B4CEA">
        <w:rPr>
          <w:sz w:val="20"/>
          <w:lang w:val="en-AU"/>
        </w:rPr>
        <w:t xml:space="preserve"> </w:t>
      </w:r>
      <w:proofErr w:type="spellStart"/>
      <w:r w:rsidR="004210A6" w:rsidRPr="003B4CEA">
        <w:rPr>
          <w:sz w:val="20"/>
          <w:lang w:val="en-AU"/>
        </w:rPr>
        <w:t>hanya</w:t>
      </w:r>
      <w:proofErr w:type="spellEnd"/>
      <w:r w:rsidR="004210A6" w:rsidRPr="003B4CEA">
        <w:rPr>
          <w:sz w:val="20"/>
          <w:lang w:val="en-AU"/>
        </w:rPr>
        <w:t xml:space="preserve"> </w:t>
      </w:r>
      <w:proofErr w:type="spellStart"/>
      <w:r w:rsidR="004210A6" w:rsidRPr="003B4CEA">
        <w:rPr>
          <w:sz w:val="20"/>
          <w:lang w:val="en-AU"/>
        </w:rPr>
        <w:t>Bersumber</w:t>
      </w:r>
      <w:proofErr w:type="spellEnd"/>
      <w:r w:rsidR="004210A6" w:rsidRPr="003B4CEA">
        <w:rPr>
          <w:sz w:val="20"/>
          <w:lang w:val="en-AU"/>
        </w:rPr>
        <w:t xml:space="preserve"> </w:t>
      </w:r>
      <w:proofErr w:type="spellStart"/>
      <w:r w:rsidR="004210A6" w:rsidRPr="003B4CEA">
        <w:rPr>
          <w:sz w:val="20"/>
          <w:lang w:val="en-AU"/>
        </w:rPr>
        <w:t>dari</w:t>
      </w:r>
      <w:proofErr w:type="spellEnd"/>
      <w:r w:rsidR="004210A6" w:rsidRPr="003B4CEA">
        <w:rPr>
          <w:sz w:val="20"/>
          <w:lang w:val="en-AU"/>
        </w:rPr>
        <w:t xml:space="preserve"> </w:t>
      </w:r>
      <w:proofErr w:type="spellStart"/>
      <w:r w:rsidR="004210A6" w:rsidRPr="003B4CEA">
        <w:rPr>
          <w:sz w:val="20"/>
          <w:lang w:val="en-AU"/>
        </w:rPr>
        <w:t>Mentawai</w:t>
      </w:r>
      <w:proofErr w:type="spellEnd"/>
      <w:r w:rsidR="004210A6" w:rsidRPr="003B4CEA">
        <w:rPr>
          <w:sz w:val="20"/>
          <w:lang w:val="en-AU"/>
        </w:rPr>
        <w:t xml:space="preserve"> </w:t>
      </w:r>
      <w:proofErr w:type="spellStart"/>
      <w:r w:rsidR="004210A6" w:rsidRPr="003B4CEA">
        <w:rPr>
          <w:sz w:val="20"/>
          <w:lang w:val="en-AU"/>
        </w:rPr>
        <w:t>Megathrust</w:t>
      </w:r>
      <w:proofErr w:type="spellEnd"/>
      <w:r w:rsidR="004210A6" w:rsidRPr="003B4CEA">
        <w:rPr>
          <w:sz w:val="20"/>
          <w:lang w:val="en-AU"/>
        </w:rPr>
        <w:t xml:space="preserve">. </w:t>
      </w:r>
      <w:proofErr w:type="spellStart"/>
      <w:r w:rsidR="004210A6" w:rsidRPr="003B4CEA">
        <w:rPr>
          <w:i/>
          <w:sz w:val="20"/>
          <w:lang w:val="en-AU"/>
        </w:rPr>
        <w:t>Artikel</w:t>
      </w:r>
      <w:proofErr w:type="spellEnd"/>
      <w:r w:rsidR="004210A6" w:rsidRPr="003B4CEA">
        <w:rPr>
          <w:i/>
          <w:sz w:val="20"/>
          <w:lang w:val="en-AU"/>
        </w:rPr>
        <w:t xml:space="preserve"> </w:t>
      </w:r>
      <w:proofErr w:type="spellStart"/>
      <w:r w:rsidR="004210A6" w:rsidRPr="003B4CEA">
        <w:rPr>
          <w:i/>
          <w:sz w:val="20"/>
          <w:lang w:val="en-AU"/>
        </w:rPr>
        <w:t>Stasiun</w:t>
      </w:r>
      <w:proofErr w:type="spellEnd"/>
      <w:r w:rsidR="004210A6" w:rsidRPr="003B4CEA">
        <w:rPr>
          <w:i/>
          <w:sz w:val="20"/>
          <w:lang w:val="en-AU"/>
        </w:rPr>
        <w:t xml:space="preserve"> </w:t>
      </w:r>
      <w:proofErr w:type="spellStart"/>
      <w:r w:rsidR="004210A6" w:rsidRPr="003B4CEA">
        <w:rPr>
          <w:i/>
          <w:sz w:val="20"/>
          <w:lang w:val="en-AU"/>
        </w:rPr>
        <w:t>Geofisika</w:t>
      </w:r>
      <w:proofErr w:type="spellEnd"/>
      <w:r w:rsidR="004210A6" w:rsidRPr="003B4CEA">
        <w:rPr>
          <w:i/>
          <w:sz w:val="20"/>
          <w:lang w:val="en-AU"/>
        </w:rPr>
        <w:t xml:space="preserve"> </w:t>
      </w:r>
      <w:proofErr w:type="spellStart"/>
      <w:r w:rsidR="004210A6" w:rsidRPr="003B4CEA">
        <w:rPr>
          <w:i/>
          <w:sz w:val="20"/>
          <w:lang w:val="en-AU"/>
        </w:rPr>
        <w:t>Kelas</w:t>
      </w:r>
      <w:proofErr w:type="spellEnd"/>
      <w:r w:rsidR="004210A6" w:rsidRPr="003B4CEA">
        <w:rPr>
          <w:i/>
          <w:sz w:val="20"/>
          <w:lang w:val="en-AU"/>
        </w:rPr>
        <w:t xml:space="preserve"> I Padang </w:t>
      </w:r>
      <w:proofErr w:type="spellStart"/>
      <w:r w:rsidR="004210A6" w:rsidRPr="003B4CEA">
        <w:rPr>
          <w:i/>
          <w:sz w:val="20"/>
          <w:lang w:val="en-AU"/>
        </w:rPr>
        <w:t>Panjang</w:t>
      </w:r>
      <w:proofErr w:type="spellEnd"/>
      <w:r w:rsidR="004210A6" w:rsidRPr="003B4CEA">
        <w:rPr>
          <w:sz w:val="20"/>
          <w:lang w:val="en-AU"/>
        </w:rPr>
        <w:t>.</w:t>
      </w:r>
    </w:p>
    <w:p w:rsidR="004210A6" w:rsidRPr="003B4CEA" w:rsidRDefault="00AF0339" w:rsidP="004210A6">
      <w:pPr>
        <w:pStyle w:val="IJASEITReferenceItem"/>
        <w:spacing w:after="0" w:line="260" w:lineRule="auto"/>
        <w:ind w:left="431" w:hanging="431"/>
        <w:rPr>
          <w:sz w:val="20"/>
          <w:lang w:val="en-AU"/>
        </w:rPr>
      </w:pPr>
      <w:proofErr w:type="spellStart"/>
      <w:r w:rsidRPr="003B4CEA">
        <w:rPr>
          <w:sz w:val="20"/>
        </w:rPr>
        <w:t>Hartuti</w:t>
      </w:r>
      <w:proofErr w:type="spellEnd"/>
      <w:r w:rsidRPr="003B4CEA">
        <w:rPr>
          <w:sz w:val="20"/>
        </w:rPr>
        <w:t xml:space="preserve">, </w:t>
      </w:r>
      <w:proofErr w:type="spellStart"/>
      <w:r w:rsidRPr="003B4CEA">
        <w:rPr>
          <w:sz w:val="20"/>
        </w:rPr>
        <w:t>Evi</w:t>
      </w:r>
      <w:proofErr w:type="spellEnd"/>
      <w:r w:rsidRPr="003B4CEA">
        <w:rPr>
          <w:sz w:val="20"/>
        </w:rPr>
        <w:t xml:space="preserve"> </w:t>
      </w:r>
      <w:proofErr w:type="spellStart"/>
      <w:r w:rsidRPr="003B4CEA">
        <w:rPr>
          <w:sz w:val="20"/>
        </w:rPr>
        <w:t>Rine</w:t>
      </w:r>
      <w:proofErr w:type="spellEnd"/>
      <w:r w:rsidRPr="003B4CEA">
        <w:rPr>
          <w:sz w:val="20"/>
        </w:rPr>
        <w:t xml:space="preserve">. 2009. </w:t>
      </w:r>
      <w:proofErr w:type="spellStart"/>
      <w:r w:rsidRPr="003B4CEA">
        <w:rPr>
          <w:i/>
          <w:sz w:val="20"/>
        </w:rPr>
        <w:t>Buku</w:t>
      </w:r>
      <w:proofErr w:type="spellEnd"/>
      <w:r w:rsidRPr="003B4CEA">
        <w:rPr>
          <w:i/>
          <w:sz w:val="20"/>
        </w:rPr>
        <w:t xml:space="preserve"> </w:t>
      </w:r>
      <w:proofErr w:type="spellStart"/>
      <w:r w:rsidRPr="003B4CEA">
        <w:rPr>
          <w:i/>
          <w:sz w:val="20"/>
        </w:rPr>
        <w:t>Pintar</w:t>
      </w:r>
      <w:proofErr w:type="spellEnd"/>
      <w:r w:rsidRPr="003B4CEA">
        <w:rPr>
          <w:i/>
          <w:sz w:val="20"/>
        </w:rPr>
        <w:t xml:space="preserve"> </w:t>
      </w:r>
      <w:proofErr w:type="spellStart"/>
      <w:r w:rsidRPr="003B4CEA">
        <w:rPr>
          <w:i/>
          <w:sz w:val="20"/>
        </w:rPr>
        <w:t>Gempa</w:t>
      </w:r>
      <w:proofErr w:type="spellEnd"/>
      <w:r w:rsidRPr="003B4CEA">
        <w:rPr>
          <w:i/>
          <w:sz w:val="20"/>
        </w:rPr>
        <w:t xml:space="preserve">: </w:t>
      </w:r>
      <w:proofErr w:type="spellStart"/>
      <w:r w:rsidRPr="003B4CEA">
        <w:rPr>
          <w:i/>
          <w:sz w:val="20"/>
        </w:rPr>
        <w:t>Mengenal</w:t>
      </w:r>
      <w:proofErr w:type="spellEnd"/>
      <w:r w:rsidRPr="003B4CEA">
        <w:rPr>
          <w:i/>
          <w:sz w:val="20"/>
        </w:rPr>
        <w:t xml:space="preserve"> </w:t>
      </w:r>
      <w:proofErr w:type="spellStart"/>
      <w:r w:rsidRPr="003B4CEA">
        <w:rPr>
          <w:i/>
          <w:sz w:val="20"/>
        </w:rPr>
        <w:t>Seluk</w:t>
      </w:r>
      <w:proofErr w:type="spellEnd"/>
      <w:r w:rsidRPr="003B4CEA">
        <w:rPr>
          <w:i/>
          <w:sz w:val="20"/>
        </w:rPr>
        <w:t xml:space="preserve"> </w:t>
      </w:r>
      <w:proofErr w:type="spellStart"/>
      <w:r w:rsidRPr="003B4CEA">
        <w:rPr>
          <w:i/>
          <w:sz w:val="20"/>
        </w:rPr>
        <w:t>Beluk</w:t>
      </w:r>
      <w:proofErr w:type="spellEnd"/>
      <w:r w:rsidRPr="003B4CEA">
        <w:rPr>
          <w:i/>
          <w:sz w:val="20"/>
        </w:rPr>
        <w:t xml:space="preserve"> </w:t>
      </w:r>
      <w:proofErr w:type="spellStart"/>
      <w:r w:rsidRPr="003B4CEA">
        <w:rPr>
          <w:i/>
          <w:sz w:val="20"/>
        </w:rPr>
        <w:t>Gempa</w:t>
      </w:r>
      <w:proofErr w:type="spellEnd"/>
      <w:r w:rsidRPr="003B4CEA">
        <w:rPr>
          <w:i/>
          <w:sz w:val="20"/>
        </w:rPr>
        <w:t xml:space="preserve">, </w:t>
      </w:r>
      <w:proofErr w:type="spellStart"/>
      <w:r w:rsidRPr="003B4CEA">
        <w:rPr>
          <w:i/>
          <w:sz w:val="20"/>
        </w:rPr>
        <w:t>Jenis-Jenisnya</w:t>
      </w:r>
      <w:proofErr w:type="spellEnd"/>
      <w:r w:rsidRPr="003B4CEA">
        <w:rPr>
          <w:i/>
          <w:sz w:val="20"/>
        </w:rPr>
        <w:t xml:space="preserve">, </w:t>
      </w:r>
      <w:proofErr w:type="spellStart"/>
      <w:r w:rsidRPr="003B4CEA">
        <w:rPr>
          <w:i/>
          <w:sz w:val="20"/>
        </w:rPr>
        <w:t>Penyebab-penyebabnya</w:t>
      </w:r>
      <w:proofErr w:type="spellEnd"/>
      <w:r w:rsidRPr="003B4CEA">
        <w:rPr>
          <w:i/>
          <w:sz w:val="20"/>
        </w:rPr>
        <w:t xml:space="preserve">, </w:t>
      </w:r>
      <w:proofErr w:type="spellStart"/>
      <w:r w:rsidRPr="003B4CEA">
        <w:rPr>
          <w:i/>
          <w:sz w:val="20"/>
        </w:rPr>
        <w:t>dan</w:t>
      </w:r>
      <w:proofErr w:type="spellEnd"/>
      <w:r w:rsidRPr="003B4CEA">
        <w:rPr>
          <w:i/>
          <w:sz w:val="20"/>
        </w:rPr>
        <w:t xml:space="preserve"> </w:t>
      </w:r>
      <w:proofErr w:type="spellStart"/>
      <w:r w:rsidRPr="003B4CEA">
        <w:rPr>
          <w:i/>
          <w:sz w:val="20"/>
        </w:rPr>
        <w:t>Dampak-dampaknya</w:t>
      </w:r>
      <w:proofErr w:type="spellEnd"/>
      <w:r w:rsidRPr="003B4CEA">
        <w:rPr>
          <w:sz w:val="20"/>
        </w:rPr>
        <w:t>. Yogyakarta: DIVA Press.</w:t>
      </w:r>
    </w:p>
    <w:p w:rsidR="0006622F" w:rsidRPr="003B4CEA" w:rsidRDefault="004210A6" w:rsidP="0006622F">
      <w:pPr>
        <w:pStyle w:val="IJASEITReferenceItem"/>
        <w:spacing w:after="0" w:line="260" w:lineRule="auto"/>
        <w:ind w:left="431" w:hanging="431"/>
        <w:rPr>
          <w:sz w:val="20"/>
          <w:lang w:val="en-AU"/>
        </w:rPr>
      </w:pPr>
      <w:proofErr w:type="spellStart"/>
      <w:r w:rsidRPr="003B4CEA">
        <w:rPr>
          <w:sz w:val="20"/>
        </w:rPr>
        <w:t>Raharjo</w:t>
      </w:r>
      <w:proofErr w:type="spellEnd"/>
      <w:r w:rsidRPr="003B4CEA">
        <w:rPr>
          <w:sz w:val="20"/>
        </w:rPr>
        <w:t xml:space="preserve">, F. D., </w:t>
      </w:r>
      <w:proofErr w:type="spellStart"/>
      <w:r w:rsidRPr="003B4CEA">
        <w:rPr>
          <w:sz w:val="20"/>
        </w:rPr>
        <w:t>Syafriani</w:t>
      </w:r>
      <w:proofErr w:type="spellEnd"/>
      <w:r w:rsidRPr="003B4CEA">
        <w:rPr>
          <w:sz w:val="20"/>
        </w:rPr>
        <w:t xml:space="preserve">, </w:t>
      </w:r>
      <w:proofErr w:type="spellStart"/>
      <w:r w:rsidRPr="003B4CEA">
        <w:rPr>
          <w:sz w:val="20"/>
        </w:rPr>
        <w:t>Sabarani</w:t>
      </w:r>
      <w:proofErr w:type="spellEnd"/>
      <w:r w:rsidRPr="003B4CEA">
        <w:rPr>
          <w:sz w:val="20"/>
        </w:rPr>
        <w:t xml:space="preserve">, A. Z. (2016). </w:t>
      </w:r>
      <w:proofErr w:type="spellStart"/>
      <w:r w:rsidRPr="003B4CEA">
        <w:rPr>
          <w:sz w:val="20"/>
        </w:rPr>
        <w:t>Analisis</w:t>
      </w:r>
      <w:proofErr w:type="spellEnd"/>
      <w:r w:rsidRPr="003B4CEA">
        <w:rPr>
          <w:sz w:val="20"/>
        </w:rPr>
        <w:t xml:space="preserve"> </w:t>
      </w:r>
      <w:proofErr w:type="spellStart"/>
      <w:r w:rsidRPr="003B4CEA">
        <w:rPr>
          <w:sz w:val="20"/>
        </w:rPr>
        <w:t>Variasi</w:t>
      </w:r>
      <w:proofErr w:type="spellEnd"/>
      <w:r w:rsidRPr="003B4CEA">
        <w:rPr>
          <w:sz w:val="20"/>
        </w:rPr>
        <w:t xml:space="preserve"> </w:t>
      </w:r>
      <w:proofErr w:type="spellStart"/>
      <w:r w:rsidRPr="003B4CEA">
        <w:rPr>
          <w:sz w:val="20"/>
        </w:rPr>
        <w:t>Spasial</w:t>
      </w:r>
      <w:proofErr w:type="spellEnd"/>
      <w:r w:rsidRPr="003B4CEA">
        <w:rPr>
          <w:sz w:val="20"/>
        </w:rPr>
        <w:t xml:space="preserve"> Parameter </w:t>
      </w:r>
      <w:proofErr w:type="spellStart"/>
      <w:r w:rsidRPr="003B4CEA">
        <w:rPr>
          <w:sz w:val="20"/>
        </w:rPr>
        <w:t>Seismotektonik</w:t>
      </w:r>
      <w:proofErr w:type="spellEnd"/>
      <w:r w:rsidRPr="003B4CEA">
        <w:rPr>
          <w:sz w:val="20"/>
        </w:rPr>
        <w:t xml:space="preserve"> Daerah Sumatera Barat </w:t>
      </w:r>
      <w:proofErr w:type="spellStart"/>
      <w:r w:rsidRPr="003B4CEA">
        <w:rPr>
          <w:sz w:val="20"/>
        </w:rPr>
        <w:t>dan</w:t>
      </w:r>
      <w:proofErr w:type="spellEnd"/>
      <w:r w:rsidRPr="003B4CEA">
        <w:rPr>
          <w:sz w:val="20"/>
        </w:rPr>
        <w:t xml:space="preserve"> </w:t>
      </w:r>
      <w:proofErr w:type="spellStart"/>
      <w:r w:rsidRPr="003B4CEA">
        <w:rPr>
          <w:sz w:val="20"/>
        </w:rPr>
        <w:t>Sekitarnya</w:t>
      </w:r>
      <w:proofErr w:type="spellEnd"/>
      <w:r w:rsidRPr="003B4CEA">
        <w:rPr>
          <w:sz w:val="20"/>
        </w:rPr>
        <w:t xml:space="preserve"> </w:t>
      </w:r>
      <w:proofErr w:type="spellStart"/>
      <w:r w:rsidRPr="003B4CEA">
        <w:rPr>
          <w:sz w:val="20"/>
        </w:rPr>
        <w:t>dengan</w:t>
      </w:r>
      <w:proofErr w:type="spellEnd"/>
      <w:r w:rsidRPr="003B4CEA">
        <w:rPr>
          <w:sz w:val="20"/>
        </w:rPr>
        <w:t xml:space="preserve"> </w:t>
      </w:r>
      <w:proofErr w:type="spellStart"/>
      <w:r w:rsidRPr="003B4CEA">
        <w:rPr>
          <w:sz w:val="20"/>
        </w:rPr>
        <w:t>Menggunakan</w:t>
      </w:r>
      <w:proofErr w:type="spellEnd"/>
      <w:r w:rsidRPr="003B4CEA">
        <w:rPr>
          <w:sz w:val="20"/>
        </w:rPr>
        <w:t xml:space="preserve"> </w:t>
      </w:r>
      <w:proofErr w:type="spellStart"/>
      <w:r w:rsidRPr="003B4CEA">
        <w:rPr>
          <w:sz w:val="20"/>
        </w:rPr>
        <w:t>Metode</w:t>
      </w:r>
      <w:proofErr w:type="spellEnd"/>
      <w:r w:rsidRPr="003B4CEA">
        <w:rPr>
          <w:sz w:val="20"/>
        </w:rPr>
        <w:t xml:space="preserve"> Likelihood. </w:t>
      </w:r>
      <w:r w:rsidRPr="003B4CEA">
        <w:rPr>
          <w:i/>
          <w:iCs/>
          <w:sz w:val="20"/>
        </w:rPr>
        <w:t>Pillar of Physics</w:t>
      </w:r>
      <w:r w:rsidRPr="003B4CEA">
        <w:rPr>
          <w:sz w:val="20"/>
        </w:rPr>
        <w:t xml:space="preserve">, </w:t>
      </w:r>
      <w:r w:rsidRPr="003B4CEA">
        <w:rPr>
          <w:i/>
          <w:iCs/>
          <w:sz w:val="20"/>
        </w:rPr>
        <w:t>8</w:t>
      </w:r>
      <w:r w:rsidRPr="003B4CEA">
        <w:rPr>
          <w:sz w:val="20"/>
        </w:rPr>
        <w:t>, 73–80.</w:t>
      </w:r>
    </w:p>
    <w:p w:rsidR="0006622F" w:rsidRPr="003B4CEA" w:rsidRDefault="0006622F" w:rsidP="0006622F">
      <w:pPr>
        <w:pStyle w:val="IJASEITReferenceItem"/>
        <w:spacing w:after="0" w:line="260" w:lineRule="auto"/>
        <w:ind w:left="431" w:hanging="431"/>
        <w:rPr>
          <w:sz w:val="20"/>
          <w:lang w:val="en-AU"/>
        </w:rPr>
      </w:pPr>
      <w:proofErr w:type="spellStart"/>
      <w:r w:rsidRPr="003B4CEA">
        <w:rPr>
          <w:sz w:val="20"/>
        </w:rPr>
        <w:t>Asnita</w:t>
      </w:r>
      <w:proofErr w:type="spellEnd"/>
      <w:r w:rsidRPr="003B4CEA">
        <w:rPr>
          <w:sz w:val="20"/>
        </w:rPr>
        <w:t xml:space="preserve">, W., </w:t>
      </w:r>
      <w:proofErr w:type="spellStart"/>
      <w:r w:rsidRPr="003B4CEA">
        <w:rPr>
          <w:sz w:val="20"/>
        </w:rPr>
        <w:t>Sugiyanto</w:t>
      </w:r>
      <w:proofErr w:type="spellEnd"/>
      <w:r w:rsidRPr="003B4CEA">
        <w:rPr>
          <w:sz w:val="20"/>
        </w:rPr>
        <w:t xml:space="preserve">, D., &amp; </w:t>
      </w:r>
      <w:proofErr w:type="spellStart"/>
      <w:r w:rsidRPr="003B4CEA">
        <w:rPr>
          <w:sz w:val="20"/>
        </w:rPr>
        <w:t>Rusydy</w:t>
      </w:r>
      <w:proofErr w:type="spellEnd"/>
      <w:r w:rsidRPr="003B4CEA">
        <w:rPr>
          <w:sz w:val="20"/>
        </w:rPr>
        <w:t xml:space="preserve">, I. (2016). </w:t>
      </w:r>
      <w:proofErr w:type="spellStart"/>
      <w:r w:rsidRPr="003B4CEA">
        <w:rPr>
          <w:sz w:val="20"/>
        </w:rPr>
        <w:t>Kajian</w:t>
      </w:r>
      <w:proofErr w:type="spellEnd"/>
      <w:r w:rsidRPr="003B4CEA">
        <w:rPr>
          <w:sz w:val="20"/>
        </w:rPr>
        <w:t xml:space="preserve"> </w:t>
      </w:r>
      <w:proofErr w:type="spellStart"/>
      <w:r w:rsidRPr="003B4CEA">
        <w:rPr>
          <w:sz w:val="20"/>
        </w:rPr>
        <w:t>Statistik</w:t>
      </w:r>
      <w:proofErr w:type="spellEnd"/>
      <w:r w:rsidRPr="003B4CEA">
        <w:rPr>
          <w:sz w:val="20"/>
        </w:rPr>
        <w:t xml:space="preserve"> </w:t>
      </w:r>
      <w:proofErr w:type="spellStart"/>
      <w:r w:rsidRPr="003B4CEA">
        <w:rPr>
          <w:sz w:val="20"/>
        </w:rPr>
        <w:t>Seismisitas</w:t>
      </w:r>
      <w:proofErr w:type="spellEnd"/>
      <w:r w:rsidRPr="003B4CEA">
        <w:rPr>
          <w:sz w:val="20"/>
        </w:rPr>
        <w:t xml:space="preserve"> </w:t>
      </w:r>
      <w:proofErr w:type="spellStart"/>
      <w:r w:rsidRPr="003B4CEA">
        <w:rPr>
          <w:sz w:val="20"/>
        </w:rPr>
        <w:t>Kawasan</w:t>
      </w:r>
      <w:proofErr w:type="spellEnd"/>
      <w:r w:rsidRPr="003B4CEA">
        <w:rPr>
          <w:sz w:val="20"/>
        </w:rPr>
        <w:t xml:space="preserve"> Sumatera. </w:t>
      </w:r>
      <w:proofErr w:type="spellStart"/>
      <w:r w:rsidRPr="003B4CEA">
        <w:rPr>
          <w:i/>
          <w:iCs/>
          <w:sz w:val="20"/>
        </w:rPr>
        <w:t>Jurnal</w:t>
      </w:r>
      <w:proofErr w:type="spellEnd"/>
      <w:r w:rsidRPr="003B4CEA">
        <w:rPr>
          <w:i/>
          <w:iCs/>
          <w:sz w:val="20"/>
        </w:rPr>
        <w:t xml:space="preserve"> Natural</w:t>
      </w:r>
      <w:r w:rsidRPr="003B4CEA">
        <w:rPr>
          <w:sz w:val="20"/>
        </w:rPr>
        <w:t xml:space="preserve">, </w:t>
      </w:r>
      <w:r w:rsidRPr="003B4CEA">
        <w:rPr>
          <w:i/>
          <w:iCs/>
          <w:sz w:val="20"/>
        </w:rPr>
        <w:t>16</w:t>
      </w:r>
      <w:r w:rsidRPr="003B4CEA">
        <w:rPr>
          <w:sz w:val="20"/>
        </w:rPr>
        <w:t xml:space="preserve">(2), 5–9. </w:t>
      </w:r>
      <w:hyperlink r:id="rId21" w:history="1">
        <w:r w:rsidRPr="003B4CEA">
          <w:rPr>
            <w:rStyle w:val="Hyperlink"/>
            <w:color w:val="auto"/>
            <w:sz w:val="20"/>
            <w:u w:val="none"/>
          </w:rPr>
          <w:t>https://doi.org/10.24815/jn.v16i2.4917</w:t>
        </w:r>
      </w:hyperlink>
    </w:p>
    <w:p w:rsidR="0006622F" w:rsidRPr="003B4CEA" w:rsidRDefault="0006622F" w:rsidP="0006622F">
      <w:pPr>
        <w:pStyle w:val="IJASEITReferenceItem"/>
        <w:spacing w:after="0" w:line="260" w:lineRule="auto"/>
        <w:ind w:left="431" w:hanging="431"/>
        <w:rPr>
          <w:sz w:val="20"/>
          <w:lang w:val="en-AU"/>
        </w:rPr>
      </w:pPr>
      <w:proofErr w:type="spellStart"/>
      <w:r w:rsidRPr="003B4CEA">
        <w:rPr>
          <w:sz w:val="20"/>
        </w:rPr>
        <w:t>Scholz</w:t>
      </w:r>
      <w:proofErr w:type="spellEnd"/>
      <w:r w:rsidRPr="003B4CEA">
        <w:rPr>
          <w:sz w:val="20"/>
        </w:rPr>
        <w:t xml:space="preserve">, C. H. (1968). The Frequency Magnitude Relation of Micro Fracturing in Rock and its Relation to Earthquakes. </w:t>
      </w:r>
      <w:r w:rsidRPr="003B4CEA">
        <w:rPr>
          <w:i/>
          <w:iCs/>
          <w:sz w:val="20"/>
        </w:rPr>
        <w:t>Bulletin of the Seismological Society of America</w:t>
      </w:r>
      <w:r w:rsidRPr="003B4CEA">
        <w:rPr>
          <w:sz w:val="20"/>
        </w:rPr>
        <w:t xml:space="preserve">, </w:t>
      </w:r>
      <w:r w:rsidRPr="003B4CEA">
        <w:rPr>
          <w:i/>
          <w:iCs/>
          <w:sz w:val="20"/>
        </w:rPr>
        <w:t>58</w:t>
      </w:r>
      <w:r w:rsidRPr="003B4CEA">
        <w:rPr>
          <w:sz w:val="20"/>
        </w:rPr>
        <w:t>(1), 399–415.</w:t>
      </w:r>
    </w:p>
    <w:p w:rsidR="0006622F" w:rsidRPr="003B4CEA" w:rsidRDefault="0006622F" w:rsidP="0006622F">
      <w:pPr>
        <w:pStyle w:val="IJASEITReferenceItem"/>
        <w:spacing w:after="0" w:line="260" w:lineRule="auto"/>
        <w:ind w:left="431" w:hanging="431"/>
        <w:rPr>
          <w:sz w:val="20"/>
          <w:lang w:val="en-AU"/>
        </w:rPr>
      </w:pPr>
      <w:proofErr w:type="spellStart"/>
      <w:r w:rsidRPr="003B4CEA">
        <w:rPr>
          <w:sz w:val="20"/>
        </w:rPr>
        <w:t>Gibowicz</w:t>
      </w:r>
      <w:proofErr w:type="spellEnd"/>
      <w:r w:rsidRPr="003B4CEA">
        <w:rPr>
          <w:sz w:val="20"/>
        </w:rPr>
        <w:t xml:space="preserve">, S. J. (1973). Variation of the Frequency-Magnitude Relation </w:t>
      </w:r>
      <w:proofErr w:type="gramStart"/>
      <w:r w:rsidRPr="003B4CEA">
        <w:rPr>
          <w:sz w:val="20"/>
        </w:rPr>
        <w:t>During</w:t>
      </w:r>
      <w:proofErr w:type="gramEnd"/>
      <w:r w:rsidRPr="003B4CEA">
        <w:rPr>
          <w:sz w:val="20"/>
        </w:rPr>
        <w:t xml:space="preserve"> Earthquake Sequences in New Zealand. </w:t>
      </w:r>
      <w:r w:rsidRPr="003B4CEA">
        <w:rPr>
          <w:i/>
          <w:iCs/>
          <w:sz w:val="20"/>
        </w:rPr>
        <w:t>Bulletin of the Seismological Society of America</w:t>
      </w:r>
      <w:r w:rsidRPr="003B4CEA">
        <w:rPr>
          <w:sz w:val="20"/>
        </w:rPr>
        <w:t xml:space="preserve">, </w:t>
      </w:r>
      <w:r w:rsidRPr="003B4CEA">
        <w:rPr>
          <w:i/>
          <w:iCs/>
          <w:sz w:val="20"/>
        </w:rPr>
        <w:t>63</w:t>
      </w:r>
      <w:r w:rsidRPr="003B4CEA">
        <w:rPr>
          <w:sz w:val="20"/>
        </w:rPr>
        <w:t xml:space="preserve">(2), 517–528. </w:t>
      </w:r>
      <w:hyperlink r:id="rId22" w:history="1">
        <w:r w:rsidRPr="003B4CEA">
          <w:rPr>
            <w:rStyle w:val="Hyperlink"/>
            <w:color w:val="auto"/>
            <w:sz w:val="20"/>
            <w:u w:val="none"/>
          </w:rPr>
          <w:t>https://doi.org/10.1785/bssa0630020517</w:t>
        </w:r>
      </w:hyperlink>
    </w:p>
    <w:p w:rsidR="00871B2F" w:rsidRPr="003B4CEA" w:rsidRDefault="0006622F" w:rsidP="00871B2F">
      <w:pPr>
        <w:pStyle w:val="IJASEITReferenceItem"/>
        <w:spacing w:after="0" w:line="260" w:lineRule="auto"/>
        <w:ind w:left="431" w:hanging="431"/>
        <w:rPr>
          <w:sz w:val="20"/>
          <w:lang w:val="en-AU"/>
        </w:rPr>
      </w:pPr>
      <w:proofErr w:type="spellStart"/>
      <w:r w:rsidRPr="003B4CEA">
        <w:rPr>
          <w:sz w:val="20"/>
        </w:rPr>
        <w:t>Sunardi</w:t>
      </w:r>
      <w:proofErr w:type="spellEnd"/>
      <w:r w:rsidRPr="003B4CEA">
        <w:rPr>
          <w:sz w:val="20"/>
        </w:rPr>
        <w:t xml:space="preserve">, B. (2009). </w:t>
      </w:r>
      <w:proofErr w:type="spellStart"/>
      <w:r w:rsidRPr="003B4CEA">
        <w:rPr>
          <w:sz w:val="20"/>
        </w:rPr>
        <w:t>Analisa</w:t>
      </w:r>
      <w:proofErr w:type="spellEnd"/>
      <w:r w:rsidRPr="003B4CEA">
        <w:rPr>
          <w:sz w:val="20"/>
        </w:rPr>
        <w:t xml:space="preserve"> </w:t>
      </w:r>
      <w:proofErr w:type="spellStart"/>
      <w:r w:rsidR="00871B2F" w:rsidRPr="003B4CEA">
        <w:rPr>
          <w:sz w:val="20"/>
        </w:rPr>
        <w:t>Fraktal</w:t>
      </w:r>
      <w:proofErr w:type="spellEnd"/>
      <w:r w:rsidR="00871B2F" w:rsidRPr="003B4CEA">
        <w:rPr>
          <w:sz w:val="20"/>
        </w:rPr>
        <w:t xml:space="preserve"> </w:t>
      </w:r>
      <w:proofErr w:type="spellStart"/>
      <w:r w:rsidR="00871B2F" w:rsidRPr="003B4CEA">
        <w:rPr>
          <w:sz w:val="20"/>
        </w:rPr>
        <w:t>dan</w:t>
      </w:r>
      <w:proofErr w:type="spellEnd"/>
      <w:r w:rsidR="00871B2F" w:rsidRPr="003B4CEA">
        <w:rPr>
          <w:sz w:val="20"/>
        </w:rPr>
        <w:t xml:space="preserve"> </w:t>
      </w:r>
      <w:proofErr w:type="spellStart"/>
      <w:r w:rsidR="00871B2F" w:rsidRPr="003B4CEA">
        <w:rPr>
          <w:sz w:val="20"/>
        </w:rPr>
        <w:t>Rasio</w:t>
      </w:r>
      <w:proofErr w:type="spellEnd"/>
      <w:r w:rsidR="00871B2F" w:rsidRPr="003B4CEA">
        <w:rPr>
          <w:sz w:val="20"/>
        </w:rPr>
        <w:t xml:space="preserve"> Slip Daerah Bali-NTB</w:t>
      </w:r>
      <w:r w:rsidRPr="003B4CEA">
        <w:rPr>
          <w:sz w:val="20"/>
        </w:rPr>
        <w:t xml:space="preserve"> </w:t>
      </w:r>
      <w:proofErr w:type="spellStart"/>
      <w:r w:rsidRPr="003B4CEA">
        <w:rPr>
          <w:sz w:val="20"/>
        </w:rPr>
        <w:t>Berdasarkan</w:t>
      </w:r>
      <w:proofErr w:type="spellEnd"/>
      <w:r w:rsidRPr="003B4CEA">
        <w:rPr>
          <w:sz w:val="20"/>
        </w:rPr>
        <w:t xml:space="preserve"> </w:t>
      </w:r>
      <w:proofErr w:type="spellStart"/>
      <w:r w:rsidRPr="003B4CEA">
        <w:rPr>
          <w:sz w:val="20"/>
        </w:rPr>
        <w:t>Pemetaan</w:t>
      </w:r>
      <w:proofErr w:type="spellEnd"/>
      <w:r w:rsidRPr="003B4CEA">
        <w:rPr>
          <w:sz w:val="20"/>
        </w:rPr>
        <w:t xml:space="preserve"> </w:t>
      </w:r>
      <w:proofErr w:type="spellStart"/>
      <w:r w:rsidRPr="003B4CEA">
        <w:rPr>
          <w:sz w:val="20"/>
        </w:rPr>
        <w:t>Variasi</w:t>
      </w:r>
      <w:proofErr w:type="spellEnd"/>
      <w:r w:rsidRPr="003B4CEA">
        <w:rPr>
          <w:sz w:val="20"/>
        </w:rPr>
        <w:t xml:space="preserve"> Parameter </w:t>
      </w:r>
      <w:proofErr w:type="spellStart"/>
      <w:r w:rsidRPr="003B4CEA">
        <w:rPr>
          <w:sz w:val="20"/>
        </w:rPr>
        <w:t>Tektonik</w:t>
      </w:r>
      <w:proofErr w:type="spellEnd"/>
      <w:r w:rsidRPr="003B4CEA">
        <w:rPr>
          <w:sz w:val="20"/>
        </w:rPr>
        <w:t xml:space="preserve">. </w:t>
      </w:r>
      <w:proofErr w:type="spellStart"/>
      <w:r w:rsidR="00871B2F" w:rsidRPr="003B4CEA">
        <w:rPr>
          <w:i/>
          <w:iCs/>
          <w:sz w:val="20"/>
        </w:rPr>
        <w:t>Jurnal</w:t>
      </w:r>
      <w:proofErr w:type="spellEnd"/>
      <w:r w:rsidR="00871B2F" w:rsidRPr="003B4CEA">
        <w:rPr>
          <w:i/>
          <w:iCs/>
          <w:sz w:val="20"/>
        </w:rPr>
        <w:t xml:space="preserve"> </w:t>
      </w:r>
      <w:proofErr w:type="spellStart"/>
      <w:r w:rsidR="00871B2F" w:rsidRPr="003B4CEA">
        <w:rPr>
          <w:i/>
          <w:iCs/>
          <w:sz w:val="20"/>
        </w:rPr>
        <w:t>Meteorologi</w:t>
      </w:r>
      <w:proofErr w:type="spellEnd"/>
      <w:r w:rsidR="00871B2F" w:rsidRPr="003B4CEA">
        <w:rPr>
          <w:i/>
          <w:iCs/>
          <w:sz w:val="20"/>
        </w:rPr>
        <w:t xml:space="preserve"> </w:t>
      </w:r>
      <w:proofErr w:type="spellStart"/>
      <w:r w:rsidR="00871B2F" w:rsidRPr="003B4CEA">
        <w:rPr>
          <w:i/>
          <w:iCs/>
          <w:sz w:val="20"/>
        </w:rPr>
        <w:t>d</w:t>
      </w:r>
      <w:r w:rsidRPr="003B4CEA">
        <w:rPr>
          <w:i/>
          <w:iCs/>
          <w:sz w:val="20"/>
        </w:rPr>
        <w:t>an</w:t>
      </w:r>
      <w:proofErr w:type="spellEnd"/>
      <w:r w:rsidRPr="003B4CEA">
        <w:rPr>
          <w:i/>
          <w:iCs/>
          <w:sz w:val="20"/>
        </w:rPr>
        <w:t xml:space="preserve"> </w:t>
      </w:r>
      <w:proofErr w:type="spellStart"/>
      <w:r w:rsidRPr="003B4CEA">
        <w:rPr>
          <w:i/>
          <w:iCs/>
          <w:sz w:val="20"/>
        </w:rPr>
        <w:t>Geofisika</w:t>
      </w:r>
      <w:proofErr w:type="spellEnd"/>
      <w:r w:rsidRPr="003B4CEA">
        <w:rPr>
          <w:sz w:val="20"/>
        </w:rPr>
        <w:t xml:space="preserve">, </w:t>
      </w:r>
      <w:r w:rsidRPr="003B4CEA">
        <w:rPr>
          <w:i/>
          <w:iCs/>
          <w:sz w:val="20"/>
        </w:rPr>
        <w:t>10</w:t>
      </w:r>
      <w:r w:rsidRPr="003B4CEA">
        <w:rPr>
          <w:sz w:val="20"/>
        </w:rPr>
        <w:t>(1)</w:t>
      </w:r>
      <w:r w:rsidR="00871B2F" w:rsidRPr="003B4CEA">
        <w:rPr>
          <w:sz w:val="20"/>
        </w:rPr>
        <w:t>, 58–65</w:t>
      </w:r>
      <w:r w:rsidRPr="003B4CEA">
        <w:rPr>
          <w:sz w:val="20"/>
        </w:rPr>
        <w:t xml:space="preserve">. </w:t>
      </w:r>
      <w:hyperlink r:id="rId23" w:history="1">
        <w:r w:rsidR="00871B2F" w:rsidRPr="003B4CEA">
          <w:rPr>
            <w:rStyle w:val="Hyperlink"/>
            <w:color w:val="auto"/>
            <w:sz w:val="20"/>
            <w:u w:val="none"/>
          </w:rPr>
          <w:t>https://doi.org/10.31172/jmg.v10i1.33</w:t>
        </w:r>
      </w:hyperlink>
    </w:p>
    <w:p w:rsidR="00871B2F" w:rsidRPr="003B4CEA" w:rsidRDefault="006671DA" w:rsidP="00871B2F">
      <w:pPr>
        <w:pStyle w:val="IJASEITReferenceItem"/>
        <w:spacing w:after="0"/>
        <w:rPr>
          <w:sz w:val="20"/>
        </w:rPr>
      </w:pPr>
      <w:proofErr w:type="spellStart"/>
      <w:r w:rsidRPr="003B4CEA">
        <w:rPr>
          <w:sz w:val="20"/>
        </w:rPr>
        <w:lastRenderedPageBreak/>
        <w:t>Mandasari</w:t>
      </w:r>
      <w:proofErr w:type="spellEnd"/>
      <w:r w:rsidRPr="003B4CEA">
        <w:rPr>
          <w:sz w:val="20"/>
        </w:rPr>
        <w:t xml:space="preserve">, </w:t>
      </w:r>
      <w:proofErr w:type="spellStart"/>
      <w:r w:rsidR="00871B2F" w:rsidRPr="003B4CEA">
        <w:rPr>
          <w:sz w:val="20"/>
        </w:rPr>
        <w:t>Syafriani</w:t>
      </w:r>
      <w:proofErr w:type="spellEnd"/>
      <w:r w:rsidR="00871B2F" w:rsidRPr="003B4CEA">
        <w:rPr>
          <w:sz w:val="20"/>
        </w:rPr>
        <w:t xml:space="preserve">, </w:t>
      </w:r>
      <w:proofErr w:type="spellStart"/>
      <w:r w:rsidR="00871B2F" w:rsidRPr="003B4CEA">
        <w:rPr>
          <w:sz w:val="20"/>
        </w:rPr>
        <w:t>Triyono</w:t>
      </w:r>
      <w:proofErr w:type="spellEnd"/>
      <w:r w:rsidR="00871B2F" w:rsidRPr="003B4CEA">
        <w:rPr>
          <w:sz w:val="20"/>
        </w:rPr>
        <w:t xml:space="preserve">, R., &amp; </w:t>
      </w:r>
      <w:proofErr w:type="spellStart"/>
      <w:r w:rsidR="00871B2F" w:rsidRPr="003B4CEA">
        <w:rPr>
          <w:sz w:val="20"/>
        </w:rPr>
        <w:t>Hendra</w:t>
      </w:r>
      <w:proofErr w:type="spellEnd"/>
      <w:r w:rsidR="00871B2F" w:rsidRPr="003B4CEA">
        <w:rPr>
          <w:sz w:val="20"/>
        </w:rPr>
        <w:t>, R</w:t>
      </w:r>
      <w:r w:rsidRPr="003B4CEA">
        <w:rPr>
          <w:sz w:val="20"/>
        </w:rPr>
        <w:t xml:space="preserve">. </w:t>
      </w:r>
      <w:r w:rsidR="00871B2F" w:rsidRPr="003B4CEA">
        <w:rPr>
          <w:sz w:val="20"/>
        </w:rPr>
        <w:t>(</w:t>
      </w:r>
      <w:r w:rsidRPr="003B4CEA">
        <w:rPr>
          <w:sz w:val="20"/>
        </w:rPr>
        <w:t>2018</w:t>
      </w:r>
      <w:r w:rsidR="00871B2F" w:rsidRPr="003B4CEA">
        <w:rPr>
          <w:sz w:val="20"/>
        </w:rPr>
        <w:t>)</w:t>
      </w:r>
      <w:r w:rsidRPr="003B4CEA">
        <w:rPr>
          <w:sz w:val="20"/>
        </w:rPr>
        <w:t xml:space="preserve">. </w:t>
      </w:r>
      <w:proofErr w:type="spellStart"/>
      <w:r w:rsidRPr="003B4CEA">
        <w:rPr>
          <w:sz w:val="20"/>
        </w:rPr>
        <w:t>Analisis</w:t>
      </w:r>
      <w:proofErr w:type="spellEnd"/>
      <w:r w:rsidRPr="003B4CEA">
        <w:rPr>
          <w:sz w:val="20"/>
        </w:rPr>
        <w:t xml:space="preserve"> Tingkat </w:t>
      </w:r>
      <w:proofErr w:type="spellStart"/>
      <w:r w:rsidRPr="003B4CEA">
        <w:rPr>
          <w:sz w:val="20"/>
        </w:rPr>
        <w:t>Kerentanan</w:t>
      </w:r>
      <w:proofErr w:type="spellEnd"/>
      <w:r w:rsidRPr="003B4CEA">
        <w:rPr>
          <w:sz w:val="20"/>
        </w:rPr>
        <w:t xml:space="preserve"> </w:t>
      </w:r>
      <w:proofErr w:type="spellStart"/>
      <w:r w:rsidRPr="003B4CEA">
        <w:rPr>
          <w:sz w:val="20"/>
        </w:rPr>
        <w:t>Seismik</w:t>
      </w:r>
      <w:proofErr w:type="spellEnd"/>
      <w:r w:rsidRPr="003B4CEA">
        <w:rPr>
          <w:sz w:val="20"/>
        </w:rPr>
        <w:t xml:space="preserve"> </w:t>
      </w:r>
      <w:proofErr w:type="spellStart"/>
      <w:r w:rsidRPr="003B4CEA">
        <w:rPr>
          <w:sz w:val="20"/>
        </w:rPr>
        <w:t>di</w:t>
      </w:r>
      <w:proofErr w:type="spellEnd"/>
      <w:r w:rsidRPr="003B4CEA">
        <w:rPr>
          <w:sz w:val="20"/>
        </w:rPr>
        <w:t xml:space="preserve"> Sumatera Barat </w:t>
      </w:r>
      <w:proofErr w:type="spellStart"/>
      <w:r w:rsidRPr="003B4CEA">
        <w:rPr>
          <w:sz w:val="20"/>
        </w:rPr>
        <w:t>Berdasarkan</w:t>
      </w:r>
      <w:proofErr w:type="spellEnd"/>
      <w:r w:rsidRPr="003B4CEA">
        <w:rPr>
          <w:sz w:val="20"/>
        </w:rPr>
        <w:t xml:space="preserve"> </w:t>
      </w:r>
      <w:proofErr w:type="spellStart"/>
      <w:r w:rsidRPr="003B4CEA">
        <w:rPr>
          <w:sz w:val="20"/>
        </w:rPr>
        <w:t>Nilai</w:t>
      </w:r>
      <w:proofErr w:type="spellEnd"/>
      <w:r w:rsidRPr="003B4CEA">
        <w:rPr>
          <w:sz w:val="20"/>
        </w:rPr>
        <w:t xml:space="preserve"> </w:t>
      </w:r>
      <w:proofErr w:type="spellStart"/>
      <w:r w:rsidRPr="003B4CEA">
        <w:rPr>
          <w:sz w:val="20"/>
        </w:rPr>
        <w:t>Percepatan</w:t>
      </w:r>
      <w:proofErr w:type="spellEnd"/>
      <w:r w:rsidRPr="003B4CEA">
        <w:rPr>
          <w:sz w:val="20"/>
        </w:rPr>
        <w:t xml:space="preserve"> Tanah </w:t>
      </w:r>
      <w:proofErr w:type="spellStart"/>
      <w:r w:rsidRPr="003B4CEA">
        <w:rPr>
          <w:sz w:val="20"/>
        </w:rPr>
        <w:t>Maksimum</w:t>
      </w:r>
      <w:proofErr w:type="spellEnd"/>
      <w:r w:rsidRPr="003B4CEA">
        <w:rPr>
          <w:sz w:val="20"/>
        </w:rPr>
        <w:t xml:space="preserve"> </w:t>
      </w:r>
      <w:proofErr w:type="spellStart"/>
      <w:r w:rsidRPr="003B4CEA">
        <w:rPr>
          <w:sz w:val="20"/>
        </w:rPr>
        <w:t>dan</w:t>
      </w:r>
      <w:proofErr w:type="spellEnd"/>
      <w:r w:rsidRPr="003B4CEA">
        <w:rPr>
          <w:sz w:val="20"/>
        </w:rPr>
        <w:t xml:space="preserve"> </w:t>
      </w:r>
      <w:proofErr w:type="spellStart"/>
      <w:r w:rsidRPr="003B4CEA">
        <w:rPr>
          <w:sz w:val="20"/>
        </w:rPr>
        <w:t>Intensitas</w:t>
      </w:r>
      <w:proofErr w:type="spellEnd"/>
      <w:r w:rsidRPr="003B4CEA">
        <w:rPr>
          <w:sz w:val="20"/>
        </w:rPr>
        <w:t xml:space="preserve"> </w:t>
      </w:r>
      <w:proofErr w:type="spellStart"/>
      <w:r w:rsidRPr="003B4CEA">
        <w:rPr>
          <w:sz w:val="20"/>
        </w:rPr>
        <w:t>Maksimum</w:t>
      </w:r>
      <w:proofErr w:type="spellEnd"/>
      <w:r w:rsidRPr="003B4CEA">
        <w:rPr>
          <w:sz w:val="20"/>
        </w:rPr>
        <w:t xml:space="preserve"> (</w:t>
      </w:r>
      <w:proofErr w:type="spellStart"/>
      <w:r w:rsidRPr="003B4CEA">
        <w:rPr>
          <w:sz w:val="20"/>
        </w:rPr>
        <w:t>Periode</w:t>
      </w:r>
      <w:proofErr w:type="spellEnd"/>
      <w:r w:rsidRPr="003B4CEA">
        <w:rPr>
          <w:sz w:val="20"/>
        </w:rPr>
        <w:t xml:space="preserve"> Data </w:t>
      </w:r>
      <w:proofErr w:type="spellStart"/>
      <w:r w:rsidRPr="003B4CEA">
        <w:rPr>
          <w:sz w:val="20"/>
        </w:rPr>
        <w:t>Gempa</w:t>
      </w:r>
      <w:proofErr w:type="spellEnd"/>
      <w:r w:rsidRPr="003B4CEA">
        <w:rPr>
          <w:sz w:val="20"/>
        </w:rPr>
        <w:t xml:space="preserve"> </w:t>
      </w:r>
      <w:proofErr w:type="spellStart"/>
      <w:r w:rsidRPr="003B4CEA">
        <w:rPr>
          <w:sz w:val="20"/>
        </w:rPr>
        <w:t>Tahun</w:t>
      </w:r>
      <w:proofErr w:type="spellEnd"/>
      <w:r w:rsidRPr="003B4CEA">
        <w:rPr>
          <w:sz w:val="20"/>
        </w:rPr>
        <w:t xml:space="preserve"> 2007-2017). </w:t>
      </w:r>
      <w:r w:rsidRPr="003B4CEA">
        <w:rPr>
          <w:i/>
          <w:sz w:val="20"/>
        </w:rPr>
        <w:t>Pillar of Physics</w:t>
      </w:r>
      <w:r w:rsidR="00871B2F" w:rsidRPr="003B4CEA">
        <w:rPr>
          <w:sz w:val="20"/>
        </w:rPr>
        <w:t xml:space="preserve">. </w:t>
      </w:r>
      <w:r w:rsidRPr="003B4CEA">
        <w:rPr>
          <w:i/>
          <w:sz w:val="20"/>
        </w:rPr>
        <w:t>11</w:t>
      </w:r>
      <w:r w:rsidR="00871B2F" w:rsidRPr="003B4CEA">
        <w:rPr>
          <w:sz w:val="20"/>
        </w:rPr>
        <w:t>(</w:t>
      </w:r>
      <w:r w:rsidRPr="003B4CEA">
        <w:rPr>
          <w:sz w:val="20"/>
        </w:rPr>
        <w:t>2</w:t>
      </w:r>
      <w:r w:rsidR="00871B2F" w:rsidRPr="003B4CEA">
        <w:rPr>
          <w:sz w:val="20"/>
        </w:rPr>
        <w:t>), 17–</w:t>
      </w:r>
      <w:r w:rsidRPr="003B4CEA">
        <w:rPr>
          <w:sz w:val="20"/>
        </w:rPr>
        <w:t>24.</w:t>
      </w:r>
    </w:p>
    <w:p w:rsidR="00871B2F" w:rsidRPr="003B4CEA" w:rsidRDefault="00871B2F" w:rsidP="00871B2F">
      <w:pPr>
        <w:pStyle w:val="IJASEITReferenceItem"/>
        <w:spacing w:after="0"/>
        <w:rPr>
          <w:sz w:val="20"/>
        </w:rPr>
      </w:pPr>
      <w:proofErr w:type="spellStart"/>
      <w:r w:rsidRPr="003B4CEA">
        <w:rPr>
          <w:sz w:val="20"/>
        </w:rPr>
        <w:t>Leviana</w:t>
      </w:r>
      <w:proofErr w:type="spellEnd"/>
      <w:r w:rsidRPr="003B4CEA">
        <w:rPr>
          <w:sz w:val="20"/>
        </w:rPr>
        <w:t xml:space="preserve">, M., </w:t>
      </w:r>
      <w:proofErr w:type="spellStart"/>
      <w:r w:rsidRPr="003B4CEA">
        <w:rPr>
          <w:sz w:val="20"/>
        </w:rPr>
        <w:t>Syafriani</w:t>
      </w:r>
      <w:proofErr w:type="spellEnd"/>
      <w:r w:rsidRPr="003B4CEA">
        <w:rPr>
          <w:sz w:val="20"/>
        </w:rPr>
        <w:t xml:space="preserve">, &amp; </w:t>
      </w:r>
      <w:proofErr w:type="spellStart"/>
      <w:r w:rsidRPr="003B4CEA">
        <w:rPr>
          <w:sz w:val="20"/>
        </w:rPr>
        <w:t>Sabarani</w:t>
      </w:r>
      <w:proofErr w:type="spellEnd"/>
      <w:r w:rsidRPr="003B4CEA">
        <w:rPr>
          <w:sz w:val="20"/>
        </w:rPr>
        <w:t xml:space="preserve">, A. Z. (2017). </w:t>
      </w:r>
      <w:proofErr w:type="spellStart"/>
      <w:r w:rsidRPr="003B4CEA">
        <w:rPr>
          <w:sz w:val="20"/>
        </w:rPr>
        <w:t>Estimasi</w:t>
      </w:r>
      <w:proofErr w:type="spellEnd"/>
      <w:r w:rsidRPr="003B4CEA">
        <w:rPr>
          <w:sz w:val="20"/>
        </w:rPr>
        <w:t xml:space="preserve"> </w:t>
      </w:r>
      <w:proofErr w:type="spellStart"/>
      <w:r w:rsidRPr="003B4CEA">
        <w:rPr>
          <w:sz w:val="20"/>
        </w:rPr>
        <w:t>Nilai</w:t>
      </w:r>
      <w:proofErr w:type="spellEnd"/>
      <w:r w:rsidRPr="003B4CEA">
        <w:rPr>
          <w:sz w:val="20"/>
        </w:rPr>
        <w:t xml:space="preserve"> </w:t>
      </w:r>
      <w:proofErr w:type="spellStart"/>
      <w:r w:rsidRPr="003B4CEA">
        <w:rPr>
          <w:sz w:val="20"/>
        </w:rPr>
        <w:t>Percepatan</w:t>
      </w:r>
      <w:proofErr w:type="spellEnd"/>
      <w:r w:rsidRPr="003B4CEA">
        <w:rPr>
          <w:sz w:val="20"/>
        </w:rPr>
        <w:t xml:space="preserve"> Tanah </w:t>
      </w:r>
      <w:proofErr w:type="spellStart"/>
      <w:r w:rsidRPr="003B4CEA">
        <w:rPr>
          <w:sz w:val="20"/>
        </w:rPr>
        <w:t>Maksimum</w:t>
      </w:r>
      <w:proofErr w:type="spellEnd"/>
      <w:r w:rsidRPr="003B4CEA">
        <w:rPr>
          <w:sz w:val="20"/>
        </w:rPr>
        <w:t xml:space="preserve"> Wilayah Sumatera Barat </w:t>
      </w:r>
      <w:proofErr w:type="spellStart"/>
      <w:r w:rsidRPr="003B4CEA">
        <w:rPr>
          <w:sz w:val="20"/>
        </w:rPr>
        <w:t>Berdasarkan</w:t>
      </w:r>
      <w:proofErr w:type="spellEnd"/>
      <w:r w:rsidRPr="003B4CEA">
        <w:rPr>
          <w:sz w:val="20"/>
        </w:rPr>
        <w:t xml:space="preserve"> </w:t>
      </w:r>
      <w:proofErr w:type="spellStart"/>
      <w:r w:rsidRPr="003B4CEA">
        <w:rPr>
          <w:sz w:val="20"/>
        </w:rPr>
        <w:t>Skenario</w:t>
      </w:r>
      <w:proofErr w:type="spellEnd"/>
      <w:r w:rsidRPr="003B4CEA">
        <w:rPr>
          <w:sz w:val="20"/>
        </w:rPr>
        <w:t xml:space="preserve"> </w:t>
      </w:r>
      <w:proofErr w:type="spellStart"/>
      <w:r w:rsidRPr="003B4CEA">
        <w:rPr>
          <w:sz w:val="20"/>
        </w:rPr>
        <w:t>Gempabumi</w:t>
      </w:r>
      <w:proofErr w:type="spellEnd"/>
      <w:r w:rsidRPr="003B4CEA">
        <w:rPr>
          <w:sz w:val="20"/>
        </w:rPr>
        <w:t xml:space="preserve"> M 8.8 SR </w:t>
      </w:r>
      <w:proofErr w:type="spellStart"/>
      <w:r w:rsidRPr="003B4CEA">
        <w:rPr>
          <w:sz w:val="20"/>
        </w:rPr>
        <w:t>Menggunakan</w:t>
      </w:r>
      <w:proofErr w:type="spellEnd"/>
      <w:r w:rsidRPr="003B4CEA">
        <w:rPr>
          <w:sz w:val="20"/>
        </w:rPr>
        <w:t xml:space="preserve"> </w:t>
      </w:r>
      <w:proofErr w:type="spellStart"/>
      <w:r w:rsidRPr="003B4CEA">
        <w:rPr>
          <w:sz w:val="20"/>
        </w:rPr>
        <w:t>Rumusan</w:t>
      </w:r>
      <w:proofErr w:type="spellEnd"/>
      <w:r w:rsidRPr="003B4CEA">
        <w:rPr>
          <w:sz w:val="20"/>
        </w:rPr>
        <w:t xml:space="preserve"> </w:t>
      </w:r>
      <w:proofErr w:type="spellStart"/>
      <w:r w:rsidRPr="003B4CEA">
        <w:rPr>
          <w:sz w:val="20"/>
        </w:rPr>
        <w:t>Empiris</w:t>
      </w:r>
      <w:proofErr w:type="spellEnd"/>
      <w:r w:rsidRPr="003B4CEA">
        <w:rPr>
          <w:sz w:val="20"/>
        </w:rPr>
        <w:t xml:space="preserve"> Mc. </w:t>
      </w:r>
      <w:proofErr w:type="spellStart"/>
      <w:r w:rsidRPr="003B4CEA">
        <w:rPr>
          <w:sz w:val="20"/>
        </w:rPr>
        <w:t>Guire</w:t>
      </w:r>
      <w:proofErr w:type="spellEnd"/>
      <w:r w:rsidRPr="003B4CEA">
        <w:rPr>
          <w:sz w:val="20"/>
        </w:rPr>
        <w:t xml:space="preserve"> (1963) </w:t>
      </w:r>
      <w:proofErr w:type="spellStart"/>
      <w:r w:rsidRPr="003B4CEA">
        <w:rPr>
          <w:sz w:val="20"/>
        </w:rPr>
        <w:t>dan</w:t>
      </w:r>
      <w:proofErr w:type="spellEnd"/>
      <w:r w:rsidRPr="003B4CEA">
        <w:rPr>
          <w:sz w:val="20"/>
        </w:rPr>
        <w:t xml:space="preserve"> Donovan (1973). </w:t>
      </w:r>
      <w:r w:rsidRPr="003B4CEA">
        <w:rPr>
          <w:i/>
          <w:iCs/>
          <w:sz w:val="20"/>
        </w:rPr>
        <w:t>Pillar of Physics</w:t>
      </w:r>
      <w:r w:rsidRPr="003B4CEA">
        <w:rPr>
          <w:sz w:val="20"/>
        </w:rPr>
        <w:t xml:space="preserve">, </w:t>
      </w:r>
      <w:r w:rsidRPr="003B4CEA">
        <w:rPr>
          <w:i/>
          <w:iCs/>
          <w:sz w:val="20"/>
        </w:rPr>
        <w:t>10</w:t>
      </w:r>
      <w:r w:rsidRPr="003B4CEA">
        <w:rPr>
          <w:sz w:val="20"/>
        </w:rPr>
        <w:t>, 55–62.</w:t>
      </w:r>
    </w:p>
    <w:p w:rsidR="003B4CEA" w:rsidRPr="003B4CEA" w:rsidRDefault="00871B2F" w:rsidP="003B4CEA">
      <w:pPr>
        <w:pStyle w:val="IJASEITReferenceItem"/>
        <w:spacing w:after="0"/>
        <w:rPr>
          <w:sz w:val="20"/>
        </w:rPr>
      </w:pPr>
      <w:proofErr w:type="spellStart"/>
      <w:r w:rsidRPr="003B4CEA">
        <w:rPr>
          <w:sz w:val="20"/>
        </w:rPr>
        <w:t>Netrisa</w:t>
      </w:r>
      <w:proofErr w:type="spellEnd"/>
      <w:r w:rsidRPr="003B4CEA">
        <w:rPr>
          <w:sz w:val="20"/>
        </w:rPr>
        <w:t xml:space="preserve">, Z., </w:t>
      </w:r>
      <w:proofErr w:type="spellStart"/>
      <w:r w:rsidRPr="003B4CEA">
        <w:rPr>
          <w:sz w:val="20"/>
        </w:rPr>
        <w:t>Syafriani</w:t>
      </w:r>
      <w:proofErr w:type="spellEnd"/>
      <w:r w:rsidRPr="003B4CEA">
        <w:rPr>
          <w:sz w:val="20"/>
        </w:rPr>
        <w:t xml:space="preserve">, </w:t>
      </w:r>
      <w:proofErr w:type="spellStart"/>
      <w:r w:rsidRPr="003B4CEA">
        <w:rPr>
          <w:sz w:val="20"/>
        </w:rPr>
        <w:t>Triyono</w:t>
      </w:r>
      <w:proofErr w:type="spellEnd"/>
      <w:r w:rsidRPr="003B4CEA">
        <w:rPr>
          <w:sz w:val="20"/>
        </w:rPr>
        <w:t xml:space="preserve">, R., &amp; </w:t>
      </w:r>
      <w:proofErr w:type="spellStart"/>
      <w:r w:rsidRPr="003B4CEA">
        <w:rPr>
          <w:sz w:val="20"/>
        </w:rPr>
        <w:t>Arifin</w:t>
      </w:r>
      <w:proofErr w:type="spellEnd"/>
      <w:r w:rsidRPr="003B4CEA">
        <w:rPr>
          <w:sz w:val="20"/>
        </w:rPr>
        <w:t xml:space="preserve">, H. (2018). </w:t>
      </w:r>
      <w:proofErr w:type="spellStart"/>
      <w:r w:rsidRPr="003B4CEA">
        <w:rPr>
          <w:sz w:val="20"/>
        </w:rPr>
        <w:t>Pemetaan</w:t>
      </w:r>
      <w:proofErr w:type="spellEnd"/>
      <w:r w:rsidRPr="003B4CEA">
        <w:rPr>
          <w:sz w:val="20"/>
        </w:rPr>
        <w:t xml:space="preserve"> </w:t>
      </w:r>
      <w:proofErr w:type="spellStart"/>
      <w:r w:rsidRPr="003B4CEA">
        <w:rPr>
          <w:sz w:val="20"/>
        </w:rPr>
        <w:t>Bahaya</w:t>
      </w:r>
      <w:proofErr w:type="spellEnd"/>
      <w:r w:rsidRPr="003B4CEA">
        <w:rPr>
          <w:sz w:val="20"/>
        </w:rPr>
        <w:t xml:space="preserve"> </w:t>
      </w:r>
      <w:proofErr w:type="spellStart"/>
      <w:r w:rsidRPr="003B4CEA">
        <w:rPr>
          <w:sz w:val="20"/>
        </w:rPr>
        <w:t>Gempabumi</w:t>
      </w:r>
      <w:proofErr w:type="spellEnd"/>
      <w:r w:rsidRPr="003B4CEA">
        <w:rPr>
          <w:sz w:val="20"/>
        </w:rPr>
        <w:t xml:space="preserve"> </w:t>
      </w:r>
      <w:proofErr w:type="spellStart"/>
      <w:r w:rsidRPr="003B4CEA">
        <w:rPr>
          <w:sz w:val="20"/>
        </w:rPr>
        <w:t>Deterministik</w:t>
      </w:r>
      <w:proofErr w:type="spellEnd"/>
      <w:r w:rsidRPr="003B4CEA">
        <w:rPr>
          <w:sz w:val="20"/>
        </w:rPr>
        <w:t xml:space="preserve"> </w:t>
      </w:r>
      <w:proofErr w:type="spellStart"/>
      <w:r w:rsidRPr="003B4CEA">
        <w:rPr>
          <w:sz w:val="20"/>
        </w:rPr>
        <w:t>dengan</w:t>
      </w:r>
      <w:proofErr w:type="spellEnd"/>
      <w:r w:rsidRPr="003B4CEA">
        <w:rPr>
          <w:sz w:val="20"/>
        </w:rPr>
        <w:t xml:space="preserve"> </w:t>
      </w:r>
      <w:proofErr w:type="spellStart"/>
      <w:r w:rsidRPr="003B4CEA">
        <w:rPr>
          <w:sz w:val="20"/>
        </w:rPr>
        <w:t>Pendekatan</w:t>
      </w:r>
      <w:proofErr w:type="spellEnd"/>
      <w:r w:rsidRPr="003B4CEA">
        <w:rPr>
          <w:sz w:val="20"/>
        </w:rPr>
        <w:t xml:space="preserve"> Peak Ground Acceleration </w:t>
      </w:r>
      <w:proofErr w:type="gramStart"/>
      <w:r w:rsidRPr="003B4CEA">
        <w:rPr>
          <w:sz w:val="20"/>
        </w:rPr>
        <w:t>( PGA</w:t>
      </w:r>
      <w:proofErr w:type="gramEnd"/>
      <w:r w:rsidRPr="003B4CEA">
        <w:rPr>
          <w:sz w:val="20"/>
        </w:rPr>
        <w:t xml:space="preserve"> ) </w:t>
      </w:r>
      <w:proofErr w:type="spellStart"/>
      <w:r w:rsidRPr="003B4CEA">
        <w:rPr>
          <w:sz w:val="20"/>
        </w:rPr>
        <w:t>di</w:t>
      </w:r>
      <w:proofErr w:type="spellEnd"/>
      <w:r w:rsidRPr="003B4CEA">
        <w:rPr>
          <w:sz w:val="20"/>
        </w:rPr>
        <w:t xml:space="preserve"> Kota Padang. </w:t>
      </w:r>
      <w:r w:rsidRPr="003B4CEA">
        <w:rPr>
          <w:i/>
          <w:iCs/>
          <w:sz w:val="20"/>
        </w:rPr>
        <w:t xml:space="preserve">Pillar </w:t>
      </w:r>
      <w:proofErr w:type="gramStart"/>
      <w:r w:rsidRPr="003B4CEA">
        <w:rPr>
          <w:i/>
          <w:iCs/>
          <w:sz w:val="20"/>
        </w:rPr>
        <w:t>Of</w:t>
      </w:r>
      <w:proofErr w:type="gramEnd"/>
      <w:r w:rsidRPr="003B4CEA">
        <w:rPr>
          <w:i/>
          <w:iCs/>
          <w:sz w:val="20"/>
        </w:rPr>
        <w:t xml:space="preserve"> Physics</w:t>
      </w:r>
      <w:r w:rsidRPr="003B4CEA">
        <w:rPr>
          <w:sz w:val="20"/>
        </w:rPr>
        <w:t xml:space="preserve">, </w:t>
      </w:r>
      <w:r w:rsidRPr="003B4CEA">
        <w:rPr>
          <w:i/>
          <w:iCs/>
          <w:sz w:val="20"/>
        </w:rPr>
        <w:t>11</w:t>
      </w:r>
      <w:r w:rsidRPr="003B4CEA">
        <w:rPr>
          <w:sz w:val="20"/>
        </w:rPr>
        <w:t>(2), 41–48.</w:t>
      </w:r>
    </w:p>
    <w:p w:rsidR="006671DA" w:rsidRPr="003B4CEA" w:rsidRDefault="003B4CEA" w:rsidP="00C602D4">
      <w:pPr>
        <w:pStyle w:val="IJASEITReferenceItem"/>
        <w:spacing w:after="0"/>
        <w:rPr>
          <w:sz w:val="20"/>
        </w:rPr>
      </w:pPr>
      <w:proofErr w:type="spellStart"/>
      <w:r w:rsidRPr="003B4CEA">
        <w:rPr>
          <w:sz w:val="20"/>
        </w:rPr>
        <w:t>Linkimer</w:t>
      </w:r>
      <w:proofErr w:type="spellEnd"/>
      <w:r w:rsidRPr="003B4CEA">
        <w:rPr>
          <w:sz w:val="20"/>
        </w:rPr>
        <w:t>, L</w:t>
      </w:r>
      <w:r w:rsidR="00E71449" w:rsidRPr="003B4CEA">
        <w:rPr>
          <w:sz w:val="20"/>
        </w:rPr>
        <w:t xml:space="preserve">. </w:t>
      </w:r>
      <w:r w:rsidRPr="003B4CEA">
        <w:rPr>
          <w:sz w:val="20"/>
        </w:rPr>
        <w:t>(</w:t>
      </w:r>
      <w:r w:rsidR="00E71449" w:rsidRPr="003B4CEA">
        <w:rPr>
          <w:sz w:val="20"/>
        </w:rPr>
        <w:t>2008</w:t>
      </w:r>
      <w:r w:rsidRPr="003B4CEA">
        <w:rPr>
          <w:sz w:val="20"/>
        </w:rPr>
        <w:t>)</w:t>
      </w:r>
      <w:r w:rsidR="00E71449" w:rsidRPr="003B4CEA">
        <w:rPr>
          <w:sz w:val="20"/>
        </w:rPr>
        <w:t xml:space="preserve">. Relationship </w:t>
      </w:r>
      <w:proofErr w:type="gramStart"/>
      <w:r w:rsidR="00E71449" w:rsidRPr="003B4CEA">
        <w:rPr>
          <w:sz w:val="20"/>
        </w:rPr>
        <w:t>Between</w:t>
      </w:r>
      <w:proofErr w:type="gramEnd"/>
      <w:r w:rsidR="00E71449" w:rsidRPr="003B4CEA">
        <w:rPr>
          <w:sz w:val="20"/>
        </w:rPr>
        <w:t xml:space="preserve"> Peak Ground Acceleration and Modified </w:t>
      </w:r>
      <w:proofErr w:type="spellStart"/>
      <w:r w:rsidR="00E71449" w:rsidRPr="003B4CEA">
        <w:rPr>
          <w:sz w:val="20"/>
        </w:rPr>
        <w:t>Mercalli</w:t>
      </w:r>
      <w:proofErr w:type="spellEnd"/>
      <w:r w:rsidR="00E71449" w:rsidRPr="003B4CEA">
        <w:rPr>
          <w:sz w:val="20"/>
        </w:rPr>
        <w:t xml:space="preserve"> Intensity in Costa Rica. </w:t>
      </w:r>
      <w:proofErr w:type="spellStart"/>
      <w:r w:rsidR="00E71449" w:rsidRPr="003B4CEA">
        <w:rPr>
          <w:i/>
          <w:sz w:val="20"/>
        </w:rPr>
        <w:t>Revista</w:t>
      </w:r>
      <w:proofErr w:type="spellEnd"/>
      <w:r w:rsidR="00E71449" w:rsidRPr="003B4CEA">
        <w:rPr>
          <w:i/>
          <w:sz w:val="20"/>
        </w:rPr>
        <w:t xml:space="preserve"> </w:t>
      </w:r>
      <w:proofErr w:type="spellStart"/>
      <w:r w:rsidR="00E71449" w:rsidRPr="003B4CEA">
        <w:rPr>
          <w:i/>
          <w:sz w:val="20"/>
        </w:rPr>
        <w:t>Geologica</w:t>
      </w:r>
      <w:proofErr w:type="spellEnd"/>
      <w:r w:rsidR="00E71449" w:rsidRPr="003B4CEA">
        <w:rPr>
          <w:i/>
          <w:sz w:val="20"/>
        </w:rPr>
        <w:t xml:space="preserve"> de America Central</w:t>
      </w:r>
      <w:r w:rsidRPr="003B4CEA">
        <w:rPr>
          <w:sz w:val="20"/>
        </w:rPr>
        <w:t xml:space="preserve">. </w:t>
      </w:r>
      <w:r w:rsidRPr="003B4CEA">
        <w:rPr>
          <w:i/>
          <w:sz w:val="20"/>
        </w:rPr>
        <w:t>38</w:t>
      </w:r>
      <w:r w:rsidRPr="003B4CEA">
        <w:rPr>
          <w:sz w:val="20"/>
        </w:rPr>
        <w:t>, 81–</w:t>
      </w:r>
      <w:r w:rsidR="00E71449" w:rsidRPr="003B4CEA">
        <w:rPr>
          <w:sz w:val="20"/>
        </w:rPr>
        <w:t>94.</w:t>
      </w:r>
    </w:p>
    <w:p w:rsidR="003B4CEA" w:rsidRPr="003B4CEA" w:rsidRDefault="00E84AA1" w:rsidP="003B4CEA">
      <w:pPr>
        <w:pStyle w:val="IJASEITReferenceItem"/>
        <w:spacing w:after="0"/>
        <w:rPr>
          <w:sz w:val="20"/>
        </w:rPr>
      </w:pPr>
      <w:r w:rsidRPr="003B4CEA">
        <w:rPr>
          <w:sz w:val="20"/>
        </w:rPr>
        <w:t xml:space="preserve">Douglas, John. 2018. </w:t>
      </w:r>
      <w:r w:rsidRPr="003B4CEA">
        <w:rPr>
          <w:i/>
          <w:sz w:val="20"/>
        </w:rPr>
        <w:t>Ground motion prediction equations 1964-2018</w:t>
      </w:r>
      <w:r w:rsidRPr="003B4CEA">
        <w:rPr>
          <w:sz w:val="20"/>
        </w:rPr>
        <w:t>. United Kingdom: Department of Civil and Enviro</w:t>
      </w:r>
      <w:r w:rsidR="003B4CEA" w:rsidRPr="003B4CEA">
        <w:rPr>
          <w:sz w:val="20"/>
        </w:rPr>
        <w:t xml:space="preserve">nmental Engineering, University </w:t>
      </w:r>
      <w:r w:rsidRPr="003B4CEA">
        <w:rPr>
          <w:sz w:val="20"/>
        </w:rPr>
        <w:t xml:space="preserve">of </w:t>
      </w:r>
      <w:proofErr w:type="spellStart"/>
      <w:r w:rsidRPr="003B4CEA">
        <w:rPr>
          <w:sz w:val="20"/>
        </w:rPr>
        <w:t>Strathclyde</w:t>
      </w:r>
      <w:proofErr w:type="spellEnd"/>
      <w:r w:rsidRPr="003B4CEA">
        <w:rPr>
          <w:sz w:val="20"/>
        </w:rPr>
        <w:t>.</w:t>
      </w:r>
    </w:p>
    <w:p w:rsidR="003B4CEA" w:rsidRPr="003B4CEA" w:rsidRDefault="003B4CEA" w:rsidP="003B4CEA">
      <w:pPr>
        <w:pStyle w:val="IJASEITReferenceItem"/>
        <w:spacing w:after="0"/>
        <w:rPr>
          <w:sz w:val="20"/>
        </w:rPr>
      </w:pPr>
      <w:proofErr w:type="spellStart"/>
      <w:r w:rsidRPr="003B4CEA">
        <w:rPr>
          <w:sz w:val="20"/>
        </w:rPr>
        <w:t>Esteva</w:t>
      </w:r>
      <w:proofErr w:type="spellEnd"/>
      <w:r w:rsidRPr="003B4CEA">
        <w:rPr>
          <w:sz w:val="20"/>
        </w:rPr>
        <w:t xml:space="preserve">, L., &amp; </w:t>
      </w:r>
      <w:proofErr w:type="spellStart"/>
      <w:r w:rsidRPr="003B4CEA">
        <w:rPr>
          <w:sz w:val="20"/>
        </w:rPr>
        <w:t>Villaverde</w:t>
      </w:r>
      <w:proofErr w:type="spellEnd"/>
      <w:r w:rsidRPr="003B4CEA">
        <w:rPr>
          <w:sz w:val="20"/>
        </w:rPr>
        <w:t xml:space="preserve">, R. (1973). Seismic Risk, Design Spectra and Structural Reliability. </w:t>
      </w:r>
      <w:r w:rsidRPr="003B4CEA">
        <w:rPr>
          <w:i/>
          <w:iCs/>
          <w:sz w:val="20"/>
        </w:rPr>
        <w:t>Proceedings of Fifth World Conference on Earthquake Engineering</w:t>
      </w:r>
      <w:r w:rsidRPr="003B4CEA">
        <w:rPr>
          <w:sz w:val="20"/>
        </w:rPr>
        <w:t xml:space="preserve">, </w:t>
      </w:r>
      <w:r w:rsidRPr="003B4CEA">
        <w:rPr>
          <w:i/>
          <w:iCs/>
          <w:sz w:val="20"/>
        </w:rPr>
        <w:t>2</w:t>
      </w:r>
      <w:r w:rsidRPr="003B4CEA">
        <w:rPr>
          <w:sz w:val="20"/>
        </w:rPr>
        <w:t>, 2586–2596.</w:t>
      </w:r>
    </w:p>
    <w:p w:rsidR="002C1D98" w:rsidRPr="003B4CEA" w:rsidRDefault="003B4CEA" w:rsidP="003B4CEA">
      <w:pPr>
        <w:pStyle w:val="IJASEITReferenceItem"/>
        <w:spacing w:after="0"/>
        <w:rPr>
          <w:sz w:val="20"/>
        </w:rPr>
      </w:pPr>
      <w:r w:rsidRPr="003B4CEA">
        <w:rPr>
          <w:sz w:val="20"/>
        </w:rPr>
        <w:t xml:space="preserve">Lin, T. L., &amp; Wu, Y. M. (2010). Magnitude Determination using Strong Ground-Motion Attenuation in Earthquake Early Warning. </w:t>
      </w:r>
      <w:r w:rsidRPr="003B4CEA">
        <w:rPr>
          <w:i/>
          <w:iCs/>
          <w:sz w:val="20"/>
        </w:rPr>
        <w:t>Geophysical Research Letters</w:t>
      </w:r>
      <w:r w:rsidRPr="003B4CEA">
        <w:rPr>
          <w:sz w:val="20"/>
        </w:rPr>
        <w:t xml:space="preserve">, </w:t>
      </w:r>
      <w:r w:rsidRPr="003B4CEA">
        <w:rPr>
          <w:i/>
          <w:iCs/>
          <w:sz w:val="20"/>
        </w:rPr>
        <w:t>37</w:t>
      </w:r>
      <w:r w:rsidRPr="003B4CEA">
        <w:rPr>
          <w:sz w:val="20"/>
        </w:rPr>
        <w:t>(7), 1–5. https://doi.org/10.1029/2010GL042502</w:t>
      </w: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p w:rsidR="002C1D98" w:rsidRDefault="002C1D98">
      <w:pPr>
        <w:spacing w:after="0" w:line="240" w:lineRule="auto"/>
        <w:rPr>
          <w:rFonts w:cs="Times New Roman"/>
          <w:sz w:val="20"/>
          <w:szCs w:val="20"/>
        </w:rPr>
      </w:pPr>
    </w:p>
    <w:sectPr w:rsidR="002C1D98" w:rsidSect="00014CA1">
      <w:type w:val="continuous"/>
      <w:pgSz w:w="11907" w:h="16840"/>
      <w:pgMar w:top="1701" w:right="1134" w:bottom="1418" w:left="1701"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570" w:rsidRDefault="00487570">
      <w:pPr>
        <w:spacing w:line="240" w:lineRule="auto"/>
      </w:pPr>
      <w:r>
        <w:separator/>
      </w:r>
    </w:p>
  </w:endnote>
  <w:endnote w:type="continuationSeparator" w:id="1">
    <w:p w:rsidR="00487570" w:rsidRDefault="004875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3309"/>
    </w:sdtPr>
    <w:sdtContent>
      <w:p w:rsidR="00487570" w:rsidRDefault="00487570">
        <w:pPr>
          <w:pStyle w:val="Footer"/>
          <w:tabs>
            <w:tab w:val="right" w:pos="9072"/>
          </w:tabs>
        </w:pPr>
      </w:p>
      <w:p w:rsidR="00487570" w:rsidRDefault="00487570">
        <w:pPr>
          <w:pStyle w:val="Footer"/>
          <w:tabs>
            <w:tab w:val="right" w:pos="9072"/>
          </w:tabs>
        </w:pPr>
        <w:r>
          <w:tab/>
        </w:r>
        <w:r>
          <w:tab/>
        </w:r>
        <w:sdt>
          <w:sdtPr>
            <w:id w:val="-1044060715"/>
            <w:text/>
          </w:sdtPr>
          <w:sdtContent>
            <w:r>
              <w:rPr>
                <w:i/>
                <w:iCs/>
                <w:sz w:val="20"/>
                <w:szCs w:val="18"/>
              </w:rPr>
              <w:t>Pillar of Physics</w:t>
            </w:r>
            <w:r>
              <w:rPr>
                <w:b/>
                <w:bCs/>
                <w:sz w:val="20"/>
                <w:szCs w:val="18"/>
              </w:rPr>
              <w:t>,</w:t>
            </w:r>
            <w:r>
              <w:rPr>
                <w:sz w:val="20"/>
                <w:szCs w:val="18"/>
              </w:rPr>
              <w:t xml:space="preserve"> page.</w:t>
            </w:r>
          </w:sdtContent>
        </w:sdt>
        <w:r>
          <w:t xml:space="preserve"> | </w:t>
        </w:r>
        <w:fldSimple w:instr=" PAGE   \* MERGEFORMAT ">
          <w:r w:rsidR="00B019AF">
            <w:rPr>
              <w:noProof/>
            </w:rPr>
            <w:t>8</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0" w:rsidRDefault="00487570">
    <w:pPr>
      <w:pStyle w:val="Footer"/>
      <w:tabs>
        <w:tab w:val="right" w:pos="9072"/>
      </w:tabs>
    </w:pPr>
  </w:p>
  <w:p w:rsidR="00487570" w:rsidRDefault="00487570">
    <w:pPr>
      <w:pStyle w:val="Footer"/>
      <w:tabs>
        <w:tab w:val="right" w:pos="9072"/>
      </w:tabs>
    </w:pPr>
    <w:r>
      <w:tab/>
    </w:r>
    <w:r>
      <w:tab/>
    </w:r>
    <w:r>
      <w:rPr>
        <w:i/>
        <w:iCs/>
        <w:sz w:val="20"/>
        <w:szCs w:val="18"/>
      </w:rPr>
      <w:t>Pillar of Physics</w:t>
    </w:r>
    <w:r>
      <w:rPr>
        <w:b/>
        <w:bCs/>
        <w:sz w:val="20"/>
        <w:szCs w:val="18"/>
      </w:rPr>
      <w:t>,</w:t>
    </w:r>
    <w:r>
      <w:rPr>
        <w:sz w:val="20"/>
        <w:szCs w:val="18"/>
      </w:rPr>
      <w:t xml:space="preserve"> page.</w:t>
    </w:r>
    <w:r>
      <w:t xml:space="preserve"> | </w:t>
    </w:r>
    <w:fldSimple w:instr=" PAGE   \* MERGEFORMAT ">
      <w:r w:rsidR="00B019AF">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0" w:rsidRDefault="00487570">
    <w:pPr>
      <w:pStyle w:val="Footer"/>
      <w:tabs>
        <w:tab w:val="right" w:pos="9072"/>
      </w:tabs>
    </w:pPr>
  </w:p>
  <w:p w:rsidR="00487570" w:rsidRDefault="00487570">
    <w:pPr>
      <w:pStyle w:val="Footer"/>
      <w:tabs>
        <w:tab w:val="right" w:pos="9072"/>
      </w:tabs>
    </w:pPr>
    <w:r>
      <w:rPr>
        <w:color w:val="000000" w:themeColor="text1"/>
        <w:sz w:val="20"/>
      </w:rPr>
      <w:t>Submitted: .xxx Accepted: xxx Published: .xxx</w:t>
    </w:r>
    <w:r>
      <w:tab/>
    </w:r>
    <w:r>
      <w:tab/>
    </w:r>
    <w:r>
      <w:rPr>
        <w:i/>
        <w:iCs/>
        <w:sz w:val="20"/>
        <w:szCs w:val="18"/>
      </w:rPr>
      <w:t>Pillar of Physics</w:t>
    </w:r>
    <w:r>
      <w:rPr>
        <w:b/>
        <w:bCs/>
        <w:sz w:val="20"/>
        <w:szCs w:val="18"/>
      </w:rPr>
      <w:t>,</w:t>
    </w:r>
    <w:r>
      <w:rPr>
        <w:sz w:val="20"/>
        <w:szCs w:val="18"/>
      </w:rPr>
      <w:t xml:space="preserve"> page.</w:t>
    </w:r>
    <w:r>
      <w:t xml:space="preserve"> | </w:t>
    </w:r>
    <w:fldSimple w:instr=" PAGE   \* MERGEFORMAT ">
      <w:r w:rsidR="00B019A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570" w:rsidRDefault="00487570">
      <w:pPr>
        <w:spacing w:after="0"/>
      </w:pPr>
      <w:r>
        <w:separator/>
      </w:r>
    </w:p>
  </w:footnote>
  <w:footnote w:type="continuationSeparator" w:id="1">
    <w:p w:rsidR="00487570" w:rsidRDefault="004875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0" w:rsidRDefault="00487570">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0" w:rsidRDefault="00487570">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p w:rsidR="00487570" w:rsidRDefault="004875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0" w:rsidRDefault="00E76463" w:rsidP="00786D1C">
    <w:pPr>
      <w:pStyle w:val="Header"/>
      <w:rPr>
        <w:rFonts w:asciiTheme="majorBidi" w:hAnsiTheme="majorBidi" w:cstheme="majorBidi"/>
        <w:sz w:val="22"/>
        <w:szCs w:val="20"/>
      </w:rPr>
    </w:pPr>
    <w:r w:rsidRPr="00E76463">
      <w:rPr>
        <w:noProof/>
      </w:rPr>
      <w:pict>
        <v:rect id="Rectangle 2" o:spid="_x0000_s1026" style="position:absolute;margin-left:97.45pt;margin-top:64.5pt;width:264.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" stroked="f">
          <v:fill opacity="0"/>
          <v:textbox>
            <w:txbxContent>
              <w:p w:rsidR="00487570" w:rsidRPr="00723C1D" w:rsidRDefault="00487570" w:rsidP="00786D1C">
                <w:pPr>
                  <w:jc w:val="center"/>
                  <w:rPr>
                    <w:rFonts w:asciiTheme="majorBidi" w:hAnsiTheme="majorBidi" w:cstheme="majorBidi"/>
                    <w:b/>
                    <w:color w:val="FFFFFF" w:themeColor="background1"/>
                    <w:sz w:val="20"/>
                  </w:rPr>
                </w:pPr>
                <w:r w:rsidRPr="00103EAB">
                  <w:rPr>
                    <w:rFonts w:asciiTheme="majorBidi" w:hAnsiTheme="majorBidi" w:cstheme="majorBidi"/>
                    <w:b/>
                    <w:color w:val="FFFFFF" w:themeColor="background1"/>
                    <w:sz w:val="20"/>
                  </w:rPr>
                  <w:t xml:space="preserve">Vol. </w:t>
                </w:r>
                <w:r>
                  <w:rPr>
                    <w:rFonts w:asciiTheme="majorBidi" w:hAnsiTheme="majorBidi" w:cstheme="majorBidi"/>
                    <w:b/>
                    <w:color w:val="FFFFFF" w:themeColor="background1"/>
                    <w:sz w:val="20"/>
                  </w:rPr>
                  <w:t>15</w:t>
                </w:r>
                <w:r w:rsidRPr="00103EAB">
                  <w:rPr>
                    <w:rFonts w:asciiTheme="majorBidi" w:hAnsiTheme="majorBidi" w:cstheme="majorBidi"/>
                    <w:b/>
                    <w:color w:val="FFFFFF" w:themeColor="background1"/>
                    <w:sz w:val="20"/>
                  </w:rPr>
                  <w:t xml:space="preserve"> (</w:t>
                </w:r>
                <w:r>
                  <w:rPr>
                    <w:rFonts w:asciiTheme="majorBidi" w:hAnsiTheme="majorBidi" w:cstheme="majorBidi"/>
                    <w:b/>
                    <w:color w:val="FFFFFF" w:themeColor="background1"/>
                    <w:sz w:val="20"/>
                  </w:rPr>
                  <w:t>1</w:t>
                </w:r>
                <w:r w:rsidRPr="00103EAB">
                  <w:rPr>
                    <w:rFonts w:asciiTheme="majorBidi" w:hAnsiTheme="majorBidi" w:cstheme="majorBidi"/>
                    <w:b/>
                    <w:color w:val="FFFFFF" w:themeColor="background1"/>
                    <w:sz w:val="20"/>
                  </w:rPr>
                  <w:t xml:space="preserve">), </w:t>
                </w:r>
                <w:r>
                  <w:rPr>
                    <w:rFonts w:asciiTheme="majorBidi" w:hAnsiTheme="majorBidi" w:cstheme="majorBidi"/>
                    <w:b/>
                    <w:color w:val="FFFFFF" w:themeColor="background1"/>
                    <w:sz w:val="20"/>
                  </w:rPr>
                  <w:t>2022</w:t>
                </w:r>
                <w:r w:rsidRPr="00103EAB">
                  <w:rPr>
                    <w:rFonts w:asciiTheme="majorBidi" w:hAnsiTheme="majorBidi" w:cstheme="majorBidi"/>
                    <w:b/>
                    <w:color w:val="FFFFFF" w:themeColor="background1"/>
                    <w:sz w:val="20"/>
                  </w:rPr>
                  <w:t>, page.</w:t>
                </w:r>
                <w:r>
                  <w:rPr>
                    <w:rFonts w:asciiTheme="majorBidi" w:hAnsiTheme="majorBidi" w:cstheme="majorBidi"/>
                    <w:b/>
                    <w:color w:val="FFFFFF" w:themeColor="background1"/>
                    <w:sz w:val="20"/>
                  </w:rPr>
                  <w:t xml:space="preserve"> </w:t>
                </w:r>
                <w:proofErr w:type="gramStart"/>
                <w:r>
                  <w:rPr>
                    <w:rFonts w:asciiTheme="majorBidi" w:hAnsiTheme="majorBidi" w:cstheme="majorBidi"/>
                    <w:b/>
                    <w:color w:val="FFFFFF" w:themeColor="background1"/>
                    <w:sz w:val="20"/>
                  </w:rPr>
                  <w:t>xx-xx</w:t>
                </w:r>
                <w:proofErr w:type="gramEnd"/>
              </w:p>
              <w:p w:rsidR="00487570" w:rsidRPr="007026AB" w:rsidRDefault="00487570" w:rsidP="00786D1C">
                <w:pPr>
                  <w:jc w:val="center"/>
                  <w:rPr>
                    <w:rFonts w:asciiTheme="majorBidi" w:hAnsiTheme="majorBidi" w:cstheme="majorBidi"/>
                    <w:b/>
                    <w:color w:val="FFFFFF" w:themeColor="background1"/>
                    <w:sz w:val="20"/>
                  </w:rPr>
                </w:pPr>
                <w:proofErr w:type="gramStart"/>
                <w:r w:rsidRPr="00103EAB">
                  <w:rPr>
                    <w:rFonts w:asciiTheme="majorBidi" w:hAnsiTheme="majorBidi" w:cstheme="majorBidi"/>
                    <w:b/>
                    <w:color w:val="FFFFFF" w:themeColor="background1"/>
                    <w:sz w:val="20"/>
                  </w:rPr>
                  <w:t>DOI :</w:t>
                </w:r>
                <w:proofErr w:type="spellStart"/>
                <w:proofErr w:type="gramEnd"/>
                <w:r w:rsidR="00E76463">
                  <w:fldChar w:fldCharType="begin"/>
                </w:r>
                <w:r w:rsidR="00431537">
                  <w:instrText>HYPERLINK "http://dx.doi.org/10.24036/10741171074"</w:instrText>
                </w:r>
                <w:r w:rsidR="00E76463">
                  <w:fldChar w:fldCharType="separate"/>
                </w:r>
                <w:r>
                  <w:rPr>
                    <w:rFonts w:asciiTheme="minorHAnsi" w:hAnsiTheme="minorHAnsi"/>
                    <w:b/>
                    <w:color w:val="FFFFFF" w:themeColor="background1"/>
                    <w:sz w:val="20"/>
                  </w:rPr>
                  <w:t>xxxx</w:t>
                </w:r>
                <w:r w:rsidR="00E76463">
                  <w:fldChar w:fldCharType="end"/>
                </w:r>
                <w:r>
                  <w:rPr>
                    <w:rFonts w:asciiTheme="minorHAnsi" w:hAnsiTheme="minorHAnsi"/>
                    <w:b/>
                    <w:color w:val="FFFFFF" w:themeColor="background1"/>
                    <w:sz w:val="20"/>
                  </w:rPr>
                  <w:t>xxxxxxxxxx</w:t>
                </w:r>
                <w:proofErr w:type="spellEnd"/>
              </w:p>
            </w:txbxContent>
          </v:textbox>
        </v:rect>
      </w:pict>
    </w:r>
    <w:r w:rsidR="00487570">
      <w:rPr>
        <w:rFonts w:asciiTheme="majorBidi" w:hAnsiTheme="majorBidi" w:cstheme="majorBidi"/>
        <w:noProof/>
        <w:sz w:val="22"/>
        <w:szCs w:val="20"/>
      </w:rPr>
      <w:drawing>
        <wp:inline distT="0" distB="0" distL="0" distR="0">
          <wp:extent cx="5772150" cy="1310311"/>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tretch>
                    <a:fillRect/>
                  </a:stretch>
                </pic:blipFill>
                <pic:spPr bwMode="auto">
                  <a:xfrm>
                    <a:off x="0" y="0"/>
                    <a:ext cx="5772150" cy="13103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4">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nsid w:val="73A67101"/>
    <w:multiLevelType w:val="hybridMultilevel"/>
    <w:tmpl w:val="1EE001FC"/>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doNotExpandShiftReturn/>
    <w:useFELayout/>
  </w:compat>
  <w:rsids>
    <w:rsidRoot w:val="5D31294E"/>
    <w:rsid w:val="00000F80"/>
    <w:rsid w:val="00013100"/>
    <w:rsid w:val="0001475D"/>
    <w:rsid w:val="00014CA1"/>
    <w:rsid w:val="00024563"/>
    <w:rsid w:val="0002480E"/>
    <w:rsid w:val="00032AD8"/>
    <w:rsid w:val="00036E69"/>
    <w:rsid w:val="00052CAD"/>
    <w:rsid w:val="00053299"/>
    <w:rsid w:val="00053C2C"/>
    <w:rsid w:val="00060C52"/>
    <w:rsid w:val="0006619E"/>
    <w:rsid w:val="0006622F"/>
    <w:rsid w:val="00081C04"/>
    <w:rsid w:val="000A5357"/>
    <w:rsid w:val="000B2ABD"/>
    <w:rsid w:val="00102993"/>
    <w:rsid w:val="001072E3"/>
    <w:rsid w:val="00111951"/>
    <w:rsid w:val="00127008"/>
    <w:rsid w:val="001311AB"/>
    <w:rsid w:val="0014383F"/>
    <w:rsid w:val="00155D69"/>
    <w:rsid w:val="00157798"/>
    <w:rsid w:val="00161B29"/>
    <w:rsid w:val="0019551E"/>
    <w:rsid w:val="001A6F8E"/>
    <w:rsid w:val="001B305A"/>
    <w:rsid w:val="001B69DE"/>
    <w:rsid w:val="001B72FC"/>
    <w:rsid w:val="001C2E3F"/>
    <w:rsid w:val="001C77BB"/>
    <w:rsid w:val="001E2C30"/>
    <w:rsid w:val="001E6544"/>
    <w:rsid w:val="001E75D6"/>
    <w:rsid w:val="001F52BD"/>
    <w:rsid w:val="001F79D2"/>
    <w:rsid w:val="00204196"/>
    <w:rsid w:val="002054D6"/>
    <w:rsid w:val="0021306A"/>
    <w:rsid w:val="0022500A"/>
    <w:rsid w:val="00226908"/>
    <w:rsid w:val="00235701"/>
    <w:rsid w:val="00241DD7"/>
    <w:rsid w:val="002552A9"/>
    <w:rsid w:val="00256960"/>
    <w:rsid w:val="00263002"/>
    <w:rsid w:val="00275B87"/>
    <w:rsid w:val="00276A63"/>
    <w:rsid w:val="00281D01"/>
    <w:rsid w:val="002A61CF"/>
    <w:rsid w:val="002C1D98"/>
    <w:rsid w:val="002C233F"/>
    <w:rsid w:val="002C5FB5"/>
    <w:rsid w:val="002D691B"/>
    <w:rsid w:val="002F2602"/>
    <w:rsid w:val="002F2D37"/>
    <w:rsid w:val="002F4E04"/>
    <w:rsid w:val="00306606"/>
    <w:rsid w:val="00307588"/>
    <w:rsid w:val="0031439F"/>
    <w:rsid w:val="0032099D"/>
    <w:rsid w:val="00347D8E"/>
    <w:rsid w:val="003655BE"/>
    <w:rsid w:val="0036665F"/>
    <w:rsid w:val="00370D6A"/>
    <w:rsid w:val="00372984"/>
    <w:rsid w:val="003812EE"/>
    <w:rsid w:val="003820B6"/>
    <w:rsid w:val="00383F8C"/>
    <w:rsid w:val="00384376"/>
    <w:rsid w:val="00386830"/>
    <w:rsid w:val="003B321A"/>
    <w:rsid w:val="003B4CEA"/>
    <w:rsid w:val="003C13F8"/>
    <w:rsid w:val="003D3336"/>
    <w:rsid w:val="003D3D49"/>
    <w:rsid w:val="003E084D"/>
    <w:rsid w:val="003E23C5"/>
    <w:rsid w:val="003E23DD"/>
    <w:rsid w:val="004000AB"/>
    <w:rsid w:val="00407754"/>
    <w:rsid w:val="00413E4C"/>
    <w:rsid w:val="00415717"/>
    <w:rsid w:val="004210A6"/>
    <w:rsid w:val="00427CFA"/>
    <w:rsid w:val="00431537"/>
    <w:rsid w:val="00446969"/>
    <w:rsid w:val="00447028"/>
    <w:rsid w:val="00460E55"/>
    <w:rsid w:val="0046169C"/>
    <w:rsid w:val="0046622D"/>
    <w:rsid w:val="00487570"/>
    <w:rsid w:val="00491B05"/>
    <w:rsid w:val="0049259D"/>
    <w:rsid w:val="00492B01"/>
    <w:rsid w:val="004942F7"/>
    <w:rsid w:val="004A0652"/>
    <w:rsid w:val="004B3441"/>
    <w:rsid w:val="004C5EC9"/>
    <w:rsid w:val="004D55CE"/>
    <w:rsid w:val="004F4E6F"/>
    <w:rsid w:val="005075BE"/>
    <w:rsid w:val="005264DC"/>
    <w:rsid w:val="005315F1"/>
    <w:rsid w:val="005405B1"/>
    <w:rsid w:val="00554EDE"/>
    <w:rsid w:val="00562752"/>
    <w:rsid w:val="00563A0E"/>
    <w:rsid w:val="00576040"/>
    <w:rsid w:val="00581444"/>
    <w:rsid w:val="005816BA"/>
    <w:rsid w:val="005835EB"/>
    <w:rsid w:val="0059125A"/>
    <w:rsid w:val="00591836"/>
    <w:rsid w:val="00593A68"/>
    <w:rsid w:val="00596043"/>
    <w:rsid w:val="005A30CC"/>
    <w:rsid w:val="005A59BC"/>
    <w:rsid w:val="005B1205"/>
    <w:rsid w:val="005D0D36"/>
    <w:rsid w:val="005E1AF4"/>
    <w:rsid w:val="005E5CA1"/>
    <w:rsid w:val="006162DE"/>
    <w:rsid w:val="006168F6"/>
    <w:rsid w:val="00636D24"/>
    <w:rsid w:val="00637600"/>
    <w:rsid w:val="0064474F"/>
    <w:rsid w:val="00653DBB"/>
    <w:rsid w:val="0066649E"/>
    <w:rsid w:val="006671DA"/>
    <w:rsid w:val="00667522"/>
    <w:rsid w:val="00674C5F"/>
    <w:rsid w:val="00675C56"/>
    <w:rsid w:val="006833EC"/>
    <w:rsid w:val="006863B6"/>
    <w:rsid w:val="00691A8F"/>
    <w:rsid w:val="006A2290"/>
    <w:rsid w:val="006C1680"/>
    <w:rsid w:val="006C1851"/>
    <w:rsid w:val="006C4A8D"/>
    <w:rsid w:val="006C5D54"/>
    <w:rsid w:val="006D488F"/>
    <w:rsid w:val="0070149C"/>
    <w:rsid w:val="00713907"/>
    <w:rsid w:val="00715FB6"/>
    <w:rsid w:val="00737085"/>
    <w:rsid w:val="00740064"/>
    <w:rsid w:val="00746B37"/>
    <w:rsid w:val="00764AEB"/>
    <w:rsid w:val="0077297E"/>
    <w:rsid w:val="0077349B"/>
    <w:rsid w:val="00777C39"/>
    <w:rsid w:val="0078468A"/>
    <w:rsid w:val="00786D1C"/>
    <w:rsid w:val="00791D1E"/>
    <w:rsid w:val="00795084"/>
    <w:rsid w:val="007A1141"/>
    <w:rsid w:val="007B4B54"/>
    <w:rsid w:val="007C36FF"/>
    <w:rsid w:val="007D7A77"/>
    <w:rsid w:val="007E11ED"/>
    <w:rsid w:val="007E6099"/>
    <w:rsid w:val="007E617B"/>
    <w:rsid w:val="00805BAF"/>
    <w:rsid w:val="0081529F"/>
    <w:rsid w:val="00816A24"/>
    <w:rsid w:val="00836EE9"/>
    <w:rsid w:val="00840E9E"/>
    <w:rsid w:val="008517F5"/>
    <w:rsid w:val="008573D9"/>
    <w:rsid w:val="00871B2F"/>
    <w:rsid w:val="008721D4"/>
    <w:rsid w:val="0088764F"/>
    <w:rsid w:val="008A3783"/>
    <w:rsid w:val="008A3B0E"/>
    <w:rsid w:val="008C224B"/>
    <w:rsid w:val="008C340D"/>
    <w:rsid w:val="008C3B29"/>
    <w:rsid w:val="008C68A0"/>
    <w:rsid w:val="008F596E"/>
    <w:rsid w:val="009000DA"/>
    <w:rsid w:val="009230C0"/>
    <w:rsid w:val="009238CE"/>
    <w:rsid w:val="00926C6E"/>
    <w:rsid w:val="00926E09"/>
    <w:rsid w:val="00927D49"/>
    <w:rsid w:val="0093311E"/>
    <w:rsid w:val="00933DE0"/>
    <w:rsid w:val="00941430"/>
    <w:rsid w:val="0095058C"/>
    <w:rsid w:val="00985138"/>
    <w:rsid w:val="009A0CDE"/>
    <w:rsid w:val="009B1151"/>
    <w:rsid w:val="009B26A9"/>
    <w:rsid w:val="009D518E"/>
    <w:rsid w:val="009E4B8F"/>
    <w:rsid w:val="009E6623"/>
    <w:rsid w:val="009E6EF2"/>
    <w:rsid w:val="009F2C1F"/>
    <w:rsid w:val="009F4CD2"/>
    <w:rsid w:val="009F64D2"/>
    <w:rsid w:val="00A272D1"/>
    <w:rsid w:val="00A55390"/>
    <w:rsid w:val="00A62C2F"/>
    <w:rsid w:val="00A63EFE"/>
    <w:rsid w:val="00A6602C"/>
    <w:rsid w:val="00A93426"/>
    <w:rsid w:val="00A95E30"/>
    <w:rsid w:val="00AA048F"/>
    <w:rsid w:val="00AA4A63"/>
    <w:rsid w:val="00AA6A54"/>
    <w:rsid w:val="00AB2871"/>
    <w:rsid w:val="00AB3C16"/>
    <w:rsid w:val="00AC2C6B"/>
    <w:rsid w:val="00AD27F8"/>
    <w:rsid w:val="00AE09D4"/>
    <w:rsid w:val="00AE255C"/>
    <w:rsid w:val="00AE3778"/>
    <w:rsid w:val="00AE67C5"/>
    <w:rsid w:val="00AE741C"/>
    <w:rsid w:val="00AF0339"/>
    <w:rsid w:val="00B019AF"/>
    <w:rsid w:val="00B11968"/>
    <w:rsid w:val="00B231D6"/>
    <w:rsid w:val="00B3070F"/>
    <w:rsid w:val="00B37629"/>
    <w:rsid w:val="00B41C9C"/>
    <w:rsid w:val="00B752F9"/>
    <w:rsid w:val="00B83E7A"/>
    <w:rsid w:val="00B934AB"/>
    <w:rsid w:val="00B95579"/>
    <w:rsid w:val="00BB0121"/>
    <w:rsid w:val="00BB4FA2"/>
    <w:rsid w:val="00BB75CD"/>
    <w:rsid w:val="00BD38F5"/>
    <w:rsid w:val="00BD4209"/>
    <w:rsid w:val="00BF3116"/>
    <w:rsid w:val="00C03C0B"/>
    <w:rsid w:val="00C10E3D"/>
    <w:rsid w:val="00C1236D"/>
    <w:rsid w:val="00C1290E"/>
    <w:rsid w:val="00C452C6"/>
    <w:rsid w:val="00C52883"/>
    <w:rsid w:val="00C54A0E"/>
    <w:rsid w:val="00C602D4"/>
    <w:rsid w:val="00C6239D"/>
    <w:rsid w:val="00C82EFC"/>
    <w:rsid w:val="00C8398D"/>
    <w:rsid w:val="00C8666F"/>
    <w:rsid w:val="00C96E1A"/>
    <w:rsid w:val="00CC0813"/>
    <w:rsid w:val="00CC1025"/>
    <w:rsid w:val="00CC1257"/>
    <w:rsid w:val="00CC44F1"/>
    <w:rsid w:val="00CD09C0"/>
    <w:rsid w:val="00CD0E1C"/>
    <w:rsid w:val="00CF0480"/>
    <w:rsid w:val="00CF45F3"/>
    <w:rsid w:val="00D12B65"/>
    <w:rsid w:val="00D43954"/>
    <w:rsid w:val="00D4523F"/>
    <w:rsid w:val="00D94E0B"/>
    <w:rsid w:val="00D96C97"/>
    <w:rsid w:val="00DC5A3B"/>
    <w:rsid w:val="00DC7C41"/>
    <w:rsid w:val="00DE4779"/>
    <w:rsid w:val="00DF0289"/>
    <w:rsid w:val="00DF0DB4"/>
    <w:rsid w:val="00DF1C23"/>
    <w:rsid w:val="00DF2CC2"/>
    <w:rsid w:val="00E03301"/>
    <w:rsid w:val="00E10BD5"/>
    <w:rsid w:val="00E10C73"/>
    <w:rsid w:val="00E372AD"/>
    <w:rsid w:val="00E44E6D"/>
    <w:rsid w:val="00E51AB8"/>
    <w:rsid w:val="00E61A1D"/>
    <w:rsid w:val="00E66340"/>
    <w:rsid w:val="00E71449"/>
    <w:rsid w:val="00E74E33"/>
    <w:rsid w:val="00E76463"/>
    <w:rsid w:val="00E819D7"/>
    <w:rsid w:val="00E84AA1"/>
    <w:rsid w:val="00E909B6"/>
    <w:rsid w:val="00EB4337"/>
    <w:rsid w:val="00EC5F28"/>
    <w:rsid w:val="00EC6F59"/>
    <w:rsid w:val="00EE0BC8"/>
    <w:rsid w:val="00F00542"/>
    <w:rsid w:val="00F27137"/>
    <w:rsid w:val="00F4663B"/>
    <w:rsid w:val="00F53227"/>
    <w:rsid w:val="00F714DC"/>
    <w:rsid w:val="00F749E9"/>
    <w:rsid w:val="00F87AFD"/>
    <w:rsid w:val="00F904B2"/>
    <w:rsid w:val="00F911AA"/>
    <w:rsid w:val="00F970FF"/>
    <w:rsid w:val="00FB2352"/>
    <w:rsid w:val="00FC2F43"/>
    <w:rsid w:val="00FC7464"/>
    <w:rsid w:val="00FD0219"/>
    <w:rsid w:val="00FD11F3"/>
    <w:rsid w:val="00FF1F16"/>
    <w:rsid w:val="00FF4054"/>
    <w:rsid w:val="050C78A8"/>
    <w:rsid w:val="05B924B2"/>
    <w:rsid w:val="05BA4FB0"/>
    <w:rsid w:val="09817C09"/>
    <w:rsid w:val="09CC087A"/>
    <w:rsid w:val="1D810588"/>
    <w:rsid w:val="1EB31103"/>
    <w:rsid w:val="25D250F2"/>
    <w:rsid w:val="328A664A"/>
    <w:rsid w:val="3667109D"/>
    <w:rsid w:val="376C7693"/>
    <w:rsid w:val="3D4947B1"/>
    <w:rsid w:val="3F695FC1"/>
    <w:rsid w:val="467B4466"/>
    <w:rsid w:val="557F6504"/>
    <w:rsid w:val="59547D99"/>
    <w:rsid w:val="5D31294E"/>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A1"/>
    <w:pPr>
      <w:spacing w:after="160" w:line="259" w:lineRule="auto"/>
    </w:pPr>
    <w:rPr>
      <w:rFonts w:ascii="Times New Roman" w:eastAsiaTheme="minorHAnsi" w:hAnsi="Times New Roman"/>
      <w:sz w:val="24"/>
      <w:szCs w:val="22"/>
      <w:lang w:val="en-US" w:eastAsia="en-US"/>
    </w:rPr>
  </w:style>
  <w:style w:type="paragraph" w:styleId="Heading1">
    <w:name w:val="heading 1"/>
    <w:basedOn w:val="Normal"/>
    <w:next w:val="Normal"/>
    <w:link w:val="Heading1Char"/>
    <w:uiPriority w:val="9"/>
    <w:qFormat/>
    <w:rsid w:val="00014CA1"/>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14C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4CA1"/>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014C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4CA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4CA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014CA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014CA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014CA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14CA1"/>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014CA1"/>
    <w:rPr>
      <w:vertAlign w:val="superscript"/>
    </w:rPr>
  </w:style>
  <w:style w:type="paragraph" w:styleId="EndnoteText">
    <w:name w:val="endnote text"/>
    <w:basedOn w:val="Normal"/>
    <w:link w:val="EndnoteTextChar"/>
    <w:uiPriority w:val="99"/>
    <w:semiHidden/>
    <w:unhideWhenUsed/>
    <w:qFormat/>
    <w:rsid w:val="00014CA1"/>
    <w:pPr>
      <w:spacing w:after="0" w:line="240" w:lineRule="auto"/>
    </w:pPr>
    <w:rPr>
      <w:sz w:val="20"/>
      <w:szCs w:val="20"/>
    </w:rPr>
  </w:style>
  <w:style w:type="paragraph" w:styleId="Footer">
    <w:name w:val="footer"/>
    <w:basedOn w:val="Normal"/>
    <w:link w:val="FooterChar"/>
    <w:uiPriority w:val="99"/>
    <w:unhideWhenUsed/>
    <w:qFormat/>
    <w:rsid w:val="00014CA1"/>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014CA1"/>
    <w:rPr>
      <w:vertAlign w:val="superscript"/>
    </w:rPr>
  </w:style>
  <w:style w:type="paragraph" w:styleId="FootnoteText">
    <w:name w:val="footnote text"/>
    <w:basedOn w:val="Normal"/>
    <w:link w:val="FootnoteTextChar"/>
    <w:uiPriority w:val="99"/>
    <w:semiHidden/>
    <w:unhideWhenUsed/>
    <w:qFormat/>
    <w:rsid w:val="00014CA1"/>
    <w:pPr>
      <w:spacing w:after="0" w:line="240" w:lineRule="auto"/>
    </w:pPr>
    <w:rPr>
      <w:sz w:val="20"/>
      <w:szCs w:val="20"/>
    </w:rPr>
  </w:style>
  <w:style w:type="paragraph" w:styleId="Header">
    <w:name w:val="header"/>
    <w:basedOn w:val="Normal"/>
    <w:link w:val="HeaderChar"/>
    <w:uiPriority w:val="99"/>
    <w:unhideWhenUsed/>
    <w:qFormat/>
    <w:rsid w:val="00014CA1"/>
    <w:pPr>
      <w:tabs>
        <w:tab w:val="center" w:pos="4680"/>
        <w:tab w:val="right" w:pos="9360"/>
      </w:tabs>
      <w:spacing w:after="0" w:line="240" w:lineRule="auto"/>
    </w:pPr>
  </w:style>
  <w:style w:type="character" w:styleId="Hyperlink">
    <w:name w:val="Hyperlink"/>
    <w:basedOn w:val="DefaultParagraphFont"/>
    <w:uiPriority w:val="99"/>
    <w:unhideWhenUsed/>
    <w:qFormat/>
    <w:rsid w:val="00014CA1"/>
    <w:rPr>
      <w:color w:val="0563C1" w:themeColor="hyperlink"/>
      <w:u w:val="single"/>
    </w:rPr>
  </w:style>
  <w:style w:type="table" w:styleId="TableGrid">
    <w:name w:val="Table Grid"/>
    <w:basedOn w:val="TableNormal"/>
    <w:uiPriority w:val="39"/>
    <w:qFormat/>
    <w:rsid w:val="00014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014CA1"/>
    <w:rPr>
      <w:color w:val="808080"/>
    </w:rPr>
  </w:style>
  <w:style w:type="character" w:customStyle="1" w:styleId="JUDUL">
    <w:name w:val="JUDUL"/>
    <w:basedOn w:val="DefaultParagraphFont"/>
    <w:uiPriority w:val="1"/>
    <w:qFormat/>
    <w:rsid w:val="00014CA1"/>
  </w:style>
  <w:style w:type="character" w:customStyle="1" w:styleId="Heading1Char">
    <w:name w:val="Heading 1 Char"/>
    <w:basedOn w:val="DefaultParagraphFont"/>
    <w:link w:val="Heading1"/>
    <w:uiPriority w:val="9"/>
    <w:qFormat/>
    <w:rsid w:val="00014CA1"/>
    <w:rPr>
      <w:rFonts w:eastAsiaTheme="majorEastAsia" w:cstheme="majorBidi"/>
      <w:b/>
      <w:szCs w:val="32"/>
    </w:rPr>
  </w:style>
  <w:style w:type="paragraph" w:styleId="NoSpacing">
    <w:name w:val="No Spacing"/>
    <w:link w:val="NoSpacingChar"/>
    <w:uiPriority w:val="1"/>
    <w:qFormat/>
    <w:rsid w:val="00014CA1"/>
    <w:rPr>
      <w:sz w:val="22"/>
      <w:szCs w:val="22"/>
      <w:lang w:val="en-US" w:eastAsia="en-US"/>
    </w:rPr>
  </w:style>
  <w:style w:type="character" w:customStyle="1" w:styleId="NoSpacingChar">
    <w:name w:val="No Spacing Char"/>
    <w:basedOn w:val="DefaultParagraphFont"/>
    <w:link w:val="NoSpacing"/>
    <w:uiPriority w:val="1"/>
    <w:qFormat/>
    <w:rsid w:val="00014CA1"/>
    <w:rPr>
      <w:rFonts w:asciiTheme="minorHAnsi" w:eastAsiaTheme="minorEastAsia" w:hAnsiTheme="minorHAnsi"/>
      <w:sz w:val="22"/>
    </w:rPr>
  </w:style>
  <w:style w:type="paragraph" w:customStyle="1" w:styleId="Abstract">
    <w:name w:val="Abstract"/>
    <w:basedOn w:val="Normal"/>
    <w:link w:val="AbstractChar"/>
    <w:qFormat/>
    <w:rsid w:val="00014CA1"/>
    <w:pPr>
      <w:spacing w:after="0" w:line="240" w:lineRule="auto"/>
      <w:ind w:firstLine="709"/>
      <w:jc w:val="both"/>
    </w:pPr>
    <w:rPr>
      <w:i/>
      <w:sz w:val="20"/>
    </w:rPr>
  </w:style>
  <w:style w:type="paragraph" w:customStyle="1" w:styleId="textnormal">
    <w:name w:val="text normal"/>
    <w:basedOn w:val="Normal"/>
    <w:link w:val="textnormalChar"/>
    <w:qFormat/>
    <w:rsid w:val="00014CA1"/>
    <w:pPr>
      <w:spacing w:after="0" w:line="240" w:lineRule="auto"/>
      <w:jc w:val="both"/>
    </w:pPr>
  </w:style>
  <w:style w:type="character" w:customStyle="1" w:styleId="AbstractChar">
    <w:name w:val="Abstract Char"/>
    <w:basedOn w:val="DefaultParagraphFont"/>
    <w:link w:val="Abstract"/>
    <w:qFormat/>
    <w:rsid w:val="00014CA1"/>
    <w:rPr>
      <w:i/>
      <w:sz w:val="20"/>
    </w:rPr>
  </w:style>
  <w:style w:type="paragraph" w:styleId="ListParagraph">
    <w:name w:val="List Paragraph"/>
    <w:basedOn w:val="Normal"/>
    <w:uiPriority w:val="34"/>
    <w:qFormat/>
    <w:rsid w:val="00014CA1"/>
    <w:pPr>
      <w:ind w:left="720"/>
      <w:contextualSpacing/>
    </w:pPr>
  </w:style>
  <w:style w:type="character" w:customStyle="1" w:styleId="textnormalChar">
    <w:name w:val="text normal Char"/>
    <w:basedOn w:val="DefaultParagraphFont"/>
    <w:link w:val="textnormal"/>
    <w:qFormat/>
    <w:rsid w:val="00014CA1"/>
  </w:style>
  <w:style w:type="character" w:customStyle="1" w:styleId="HeaderChar">
    <w:name w:val="Header Char"/>
    <w:basedOn w:val="DefaultParagraphFont"/>
    <w:link w:val="Header"/>
    <w:uiPriority w:val="99"/>
    <w:qFormat/>
    <w:rsid w:val="00014CA1"/>
  </w:style>
  <w:style w:type="character" w:customStyle="1" w:styleId="FooterChar">
    <w:name w:val="Footer Char"/>
    <w:basedOn w:val="DefaultParagraphFont"/>
    <w:link w:val="Footer"/>
    <w:uiPriority w:val="99"/>
    <w:qFormat/>
    <w:rsid w:val="00014CA1"/>
  </w:style>
  <w:style w:type="character" w:customStyle="1" w:styleId="BalloonTextChar">
    <w:name w:val="Balloon Text Char"/>
    <w:basedOn w:val="DefaultParagraphFont"/>
    <w:link w:val="BalloonText"/>
    <w:uiPriority w:val="99"/>
    <w:semiHidden/>
    <w:qFormat/>
    <w:rsid w:val="00014CA1"/>
    <w:rPr>
      <w:rFonts w:ascii="Tahoma" w:hAnsi="Tahoma" w:cs="Tahoma"/>
      <w:sz w:val="16"/>
      <w:szCs w:val="16"/>
    </w:rPr>
  </w:style>
  <w:style w:type="character" w:customStyle="1" w:styleId="Style1">
    <w:name w:val="Style1"/>
    <w:basedOn w:val="DefaultParagraphFont"/>
    <w:uiPriority w:val="1"/>
    <w:qFormat/>
    <w:rsid w:val="00014CA1"/>
    <w:rPr>
      <w:rFonts w:ascii="Times New Roman" w:hAnsi="Times New Roman"/>
      <w:i/>
      <w:sz w:val="22"/>
    </w:rPr>
  </w:style>
  <w:style w:type="character" w:customStyle="1" w:styleId="Style2">
    <w:name w:val="Style2"/>
    <w:basedOn w:val="DefaultParagraphFont"/>
    <w:uiPriority w:val="1"/>
    <w:qFormat/>
    <w:rsid w:val="00014CA1"/>
    <w:rPr>
      <w:sz w:val="20"/>
    </w:rPr>
  </w:style>
  <w:style w:type="character" w:customStyle="1" w:styleId="Heading2Char">
    <w:name w:val="Heading 2 Char"/>
    <w:basedOn w:val="DefaultParagraphFont"/>
    <w:link w:val="Heading2"/>
    <w:uiPriority w:val="9"/>
    <w:qFormat/>
    <w:rsid w:val="00014C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014CA1"/>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014C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014CA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014CA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014CA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014CA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sid w:val="00014CA1"/>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014CA1"/>
    <w:pPr>
      <w:spacing w:before="240" w:after="240" w:line="276" w:lineRule="auto"/>
      <w:jc w:val="left"/>
    </w:pPr>
    <w:rPr>
      <w:bCs/>
      <w:sz w:val="21"/>
      <w:lang w:val="id-ID"/>
    </w:rPr>
  </w:style>
  <w:style w:type="paragraph" w:customStyle="1" w:styleId="Reference">
    <w:name w:val="Reference"/>
    <w:qFormat/>
    <w:rsid w:val="00014CA1"/>
    <w:pPr>
      <w:tabs>
        <w:tab w:val="left" w:pos="709"/>
      </w:tabs>
      <w:ind w:left="567" w:hanging="567"/>
      <w:jc w:val="both"/>
    </w:pPr>
    <w:rPr>
      <w:rFonts w:ascii="Times" w:eastAsia="Times New Roman" w:hAnsi="Times" w:cs="Times New Roman"/>
      <w:color w:val="000000"/>
      <w:sz w:val="22"/>
      <w:szCs w:val="22"/>
      <w:lang w:val="en-GB" w:eastAsia="en-US"/>
    </w:rPr>
  </w:style>
  <w:style w:type="character" w:customStyle="1" w:styleId="FootnoteTextChar">
    <w:name w:val="Footnote Text Char"/>
    <w:basedOn w:val="DefaultParagraphFont"/>
    <w:link w:val="FootnoteText"/>
    <w:uiPriority w:val="99"/>
    <w:semiHidden/>
    <w:qFormat/>
    <w:rsid w:val="00014CA1"/>
    <w:rPr>
      <w:sz w:val="20"/>
      <w:szCs w:val="20"/>
    </w:rPr>
  </w:style>
  <w:style w:type="character" w:customStyle="1" w:styleId="EndnoteTextChar">
    <w:name w:val="Endnote Text Char"/>
    <w:basedOn w:val="DefaultParagraphFont"/>
    <w:link w:val="EndnoteText"/>
    <w:uiPriority w:val="99"/>
    <w:semiHidden/>
    <w:qFormat/>
    <w:rsid w:val="00014CA1"/>
    <w:rPr>
      <w:sz w:val="20"/>
      <w:szCs w:val="20"/>
    </w:rPr>
  </w:style>
  <w:style w:type="paragraph" w:customStyle="1" w:styleId="IJASEITParagraph">
    <w:name w:val="IJASEIT Paragraph"/>
    <w:basedOn w:val="Normal"/>
    <w:qFormat/>
    <w:rsid w:val="00014CA1"/>
    <w:pPr>
      <w:adjustRightInd w:val="0"/>
      <w:snapToGrid w:val="0"/>
      <w:ind w:firstLine="216"/>
      <w:jc w:val="both"/>
    </w:pPr>
    <w:rPr>
      <w:sz w:val="20"/>
    </w:rPr>
  </w:style>
  <w:style w:type="paragraph" w:customStyle="1" w:styleId="IJASEITHeading2">
    <w:name w:val="IJASEIT Heading 2"/>
    <w:basedOn w:val="Normal"/>
    <w:next w:val="IJASEITParagraph"/>
    <w:rsid w:val="00014CA1"/>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014CA1"/>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014CA1"/>
    <w:pPr>
      <w:spacing w:before="0"/>
    </w:pPr>
    <w:rPr>
      <w:sz w:val="16"/>
    </w:rPr>
  </w:style>
  <w:style w:type="paragraph" w:customStyle="1" w:styleId="IJASEITTitle">
    <w:name w:val="IJASEIT Title"/>
    <w:basedOn w:val="Normal"/>
    <w:next w:val="IJASEITAuthorName"/>
    <w:qFormat/>
    <w:rsid w:val="00014CA1"/>
    <w:pPr>
      <w:adjustRightInd w:val="0"/>
      <w:snapToGrid w:val="0"/>
      <w:spacing w:before="2560"/>
      <w:jc w:val="center"/>
    </w:pPr>
    <w:rPr>
      <w:sz w:val="36"/>
    </w:rPr>
  </w:style>
  <w:style w:type="paragraph" w:customStyle="1" w:styleId="IJASEITAuthorName">
    <w:name w:val="IJASEIT Author Name"/>
    <w:basedOn w:val="Normal"/>
    <w:next w:val="Normal"/>
    <w:qFormat/>
    <w:rsid w:val="00014CA1"/>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014CA1"/>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qFormat/>
    <w:rsid w:val="00014CA1"/>
    <w:pPr>
      <w:numPr>
        <w:numId w:val="4"/>
      </w:numPr>
      <w:adjustRightInd w:val="0"/>
      <w:snapToGrid w:val="0"/>
      <w:jc w:val="both"/>
    </w:pPr>
    <w:rPr>
      <w:sz w:val="16"/>
    </w:rPr>
  </w:style>
  <w:style w:type="paragraph" w:styleId="NormalWeb">
    <w:name w:val="Normal (Web)"/>
    <w:basedOn w:val="Normal"/>
    <w:uiPriority w:val="99"/>
    <w:semiHidden/>
    <w:unhideWhenUsed/>
    <w:rsid w:val="0095058C"/>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9340470">
      <w:bodyDiv w:val="1"/>
      <w:marLeft w:val="0"/>
      <w:marRight w:val="0"/>
      <w:marTop w:val="0"/>
      <w:marBottom w:val="0"/>
      <w:divBdr>
        <w:top w:val="none" w:sz="0" w:space="0" w:color="auto"/>
        <w:left w:val="none" w:sz="0" w:space="0" w:color="auto"/>
        <w:bottom w:val="none" w:sz="0" w:space="0" w:color="auto"/>
        <w:right w:val="none" w:sz="0" w:space="0" w:color="auto"/>
      </w:divBdr>
    </w:div>
    <w:div w:id="1842425821">
      <w:bodyDiv w:val="1"/>
      <w:marLeft w:val="0"/>
      <w:marRight w:val="0"/>
      <w:marTop w:val="0"/>
      <w:marBottom w:val="0"/>
      <w:divBdr>
        <w:top w:val="none" w:sz="0" w:space="0" w:color="auto"/>
        <w:left w:val="none" w:sz="0" w:space="0" w:color="auto"/>
        <w:bottom w:val="none" w:sz="0" w:space="0" w:color="auto"/>
        <w:right w:val="none" w:sz="0" w:space="0" w:color="auto"/>
      </w:divBdr>
    </w:div>
    <w:div w:id="212252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24815/jn.v16i2.4917"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31172/jmg.v10i1.33" TargetMode="Externa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1785/bssa06300205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20pillar%20of%20physics%20education%20(14032021).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SKRIPSI\Skripsi%20Asli\Skripsi\Pengolahan%20Mencari%20Rumus.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lineChart>
        <c:grouping val="standard"/>
        <c:ser>
          <c:idx val="0"/>
          <c:order val="0"/>
          <c:tx>
            <c:v>Rumus Empiris</c:v>
          </c:tx>
          <c:val>
            <c:numRef>
              <c:f>Finish!$W$2:$W$16</c:f>
              <c:numCache>
                <c:formatCode>0.00</c:formatCode>
                <c:ptCount val="15"/>
                <c:pt idx="0">
                  <c:v>0.78638931016267344</c:v>
                </c:pt>
                <c:pt idx="1">
                  <c:v>0.39026613079989786</c:v>
                </c:pt>
                <c:pt idx="2">
                  <c:v>0.37396859002517557</c:v>
                </c:pt>
                <c:pt idx="3">
                  <c:v>0.61012100522854584</c:v>
                </c:pt>
                <c:pt idx="4">
                  <c:v>0.50138408655776756</c:v>
                </c:pt>
                <c:pt idx="5">
                  <c:v>0.62695040135492364</c:v>
                </c:pt>
                <c:pt idx="6">
                  <c:v>1.0505120560926906</c:v>
                </c:pt>
                <c:pt idx="7">
                  <c:v>1.4189862049003639</c:v>
                </c:pt>
                <c:pt idx="8">
                  <c:v>0.91042876652793348</c:v>
                </c:pt>
                <c:pt idx="9">
                  <c:v>4.9530124911487023</c:v>
                </c:pt>
                <c:pt idx="10">
                  <c:v>0.3332781029577559</c:v>
                </c:pt>
                <c:pt idx="11">
                  <c:v>8.5515650793653503E-2</c:v>
                </c:pt>
                <c:pt idx="12">
                  <c:v>0.19739953661170306</c:v>
                </c:pt>
                <c:pt idx="13">
                  <c:v>0.91793412746060632</c:v>
                </c:pt>
                <c:pt idx="14">
                  <c:v>0.31064966448489262</c:v>
                </c:pt>
              </c:numCache>
            </c:numRef>
          </c:val>
        </c:ser>
        <c:ser>
          <c:idx val="1"/>
          <c:order val="1"/>
          <c:tx>
            <c:v>Akselerograf</c:v>
          </c:tx>
          <c:val>
            <c:numRef>
              <c:f>Finish!$P$2:$P$16</c:f>
              <c:numCache>
                <c:formatCode>0.00</c:formatCode>
                <c:ptCount val="15"/>
                <c:pt idx="0">
                  <c:v>0.7770000000000038</c:v>
                </c:pt>
                <c:pt idx="1">
                  <c:v>0.54600000000000004</c:v>
                </c:pt>
                <c:pt idx="2">
                  <c:v>1.0509999999999926</c:v>
                </c:pt>
                <c:pt idx="3">
                  <c:v>0.38700000000000206</c:v>
                </c:pt>
                <c:pt idx="4">
                  <c:v>0.68200000000000094</c:v>
                </c:pt>
                <c:pt idx="5">
                  <c:v>0.60800000000000065</c:v>
                </c:pt>
                <c:pt idx="6">
                  <c:v>1.33</c:v>
                </c:pt>
                <c:pt idx="7">
                  <c:v>1.3900000000000001</c:v>
                </c:pt>
                <c:pt idx="8">
                  <c:v>0.57199999999999995</c:v>
                </c:pt>
                <c:pt idx="9">
                  <c:v>6.3599999999999985</c:v>
                </c:pt>
                <c:pt idx="10">
                  <c:v>0.36300000000000032</c:v>
                </c:pt>
                <c:pt idx="11">
                  <c:v>0.11899999999999998</c:v>
                </c:pt>
                <c:pt idx="12">
                  <c:v>7.4000000000000288E-2</c:v>
                </c:pt>
                <c:pt idx="13">
                  <c:v>0.55300000000000005</c:v>
                </c:pt>
                <c:pt idx="14">
                  <c:v>0.27900000000000008</c:v>
                </c:pt>
              </c:numCache>
            </c:numRef>
          </c:val>
        </c:ser>
        <c:marker val="1"/>
        <c:axId val="127453440"/>
        <c:axId val="128865408"/>
      </c:lineChart>
      <c:catAx>
        <c:axId val="127453440"/>
        <c:scaling>
          <c:orientation val="minMax"/>
        </c:scaling>
        <c:axPos val="b"/>
        <c:title>
          <c:tx>
            <c:rich>
              <a:bodyPr/>
              <a:lstStyle/>
              <a:p>
                <a:pPr>
                  <a:defRPr/>
                </a:pPr>
                <a:r>
                  <a:rPr lang="en-US"/>
                  <a:t>Kejadian Gempa</a:t>
                </a:r>
              </a:p>
            </c:rich>
          </c:tx>
          <c:layout/>
        </c:title>
        <c:numFmt formatCode="General" sourceLinked="1"/>
        <c:majorTickMark val="none"/>
        <c:tickLblPos val="nextTo"/>
        <c:txPr>
          <a:bodyPr rot="0" vert="horz"/>
          <a:lstStyle/>
          <a:p>
            <a:pPr>
              <a:defRPr/>
            </a:pPr>
            <a:endParaRPr lang="en-US"/>
          </a:p>
        </c:txPr>
        <c:crossAx val="128865408"/>
        <c:crosses val="autoZero"/>
        <c:auto val="1"/>
        <c:lblAlgn val="ctr"/>
        <c:lblOffset val="100"/>
      </c:catAx>
      <c:valAx>
        <c:axId val="128865408"/>
        <c:scaling>
          <c:orientation val="minMax"/>
        </c:scaling>
        <c:axPos val="l"/>
        <c:title>
          <c:tx>
            <c:rich>
              <a:bodyPr rot="-5400000" vert="horz"/>
              <a:lstStyle/>
              <a:p>
                <a:pPr>
                  <a:defRPr/>
                </a:pPr>
                <a:r>
                  <a:rPr lang="en-US"/>
                  <a:t>Nilai Percepatan Tanah </a:t>
                </a:r>
              </a:p>
              <a:p>
                <a:pPr>
                  <a:defRPr/>
                </a:pPr>
                <a:r>
                  <a:rPr lang="en-US"/>
                  <a:t>Maksimum (gal)</a:t>
                </a:r>
              </a:p>
            </c:rich>
          </c:tx>
          <c:layout>
            <c:manualLayout>
              <c:xMode val="edge"/>
              <c:yMode val="edge"/>
              <c:x val="2.500000000000005E-2"/>
              <c:y val="7.414114902303881E-2"/>
            </c:manualLayout>
          </c:layout>
        </c:title>
        <c:numFmt formatCode="0.00" sourceLinked="1"/>
        <c:majorTickMark val="none"/>
        <c:tickLblPos val="nextTo"/>
        <c:txPr>
          <a:bodyPr rot="0" vert="horz"/>
          <a:lstStyle/>
          <a:p>
            <a:pPr>
              <a:defRPr/>
            </a:pPr>
            <a:endParaRPr lang="en-US"/>
          </a:p>
        </c:txPr>
        <c:crossAx val="127453440"/>
        <c:crosses val="autoZero"/>
        <c:crossBetween val="between"/>
      </c:valAx>
      <c:spPr>
        <a:noFill/>
        <a:ln w="25400" cap="flat" cmpd="sng" algn="ctr">
          <a:solidFill>
            <a:srgbClr val="70AD47"/>
          </a:solidFill>
          <a:prstDash val="solid"/>
        </a:ln>
        <a:effectLst/>
      </c:spPr>
    </c:plotArea>
    <c:legend>
      <c:legendPos val="b"/>
      <c:layout/>
    </c:legend>
    <c:plotVisOnly val="1"/>
    <c:dispBlanksAs val="gap"/>
  </c:chart>
  <c:spPr>
    <a:solidFill>
      <a:sysClr val="window" lastClr="FFFFFF"/>
    </a:solidFill>
    <a:ln w="25400" cap="flat" cmpd="sng" algn="ctr">
      <a:solidFill>
        <a:srgbClr val="70AD47"/>
      </a:solidFill>
      <a:prstDash val="solid"/>
    </a:ln>
    <a:effectLst/>
  </c:spPr>
  <c:txPr>
    <a:bodyPr/>
    <a:lstStyle/>
    <a:p>
      <a:pPr>
        <a:defRPr>
          <a:solidFill>
            <a:sysClr val="windowText" lastClr="000000"/>
          </a:solidFill>
          <a:latin typeface="+mn-lt"/>
          <a:ea typeface="+mn-ea"/>
          <a:cs typeface="+mn-cs"/>
        </a:defRPr>
      </a:pPr>
      <a:endParaRPr lang="en-US"/>
    </a:p>
  </c:txPr>
  <c:externalData r:id="rId2"/>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7EC250621E466687195024B6493CF3"/>
        <w:category>
          <w:name w:val="General"/>
          <w:gallery w:val="placeholder"/>
        </w:category>
        <w:types>
          <w:type w:val="bbPlcHdr"/>
        </w:types>
        <w:behaviors>
          <w:behavior w:val="content"/>
        </w:behaviors>
        <w:guid w:val="{02B7FCD1-F01C-4DAD-BB32-E56E6C9F6935}"/>
      </w:docPartPr>
      <w:docPartBody>
        <w:p w:rsidR="009C1E34" w:rsidRDefault="00455F92">
          <w:pPr>
            <w:pStyle w:val="6E7EC250621E466687195024B6493CF3"/>
          </w:pPr>
          <w:r>
            <w:rPr>
              <w:rStyle w:val="Heading1Char"/>
            </w:rPr>
            <w:t xml:space="preserve">JUDUL ARTIKEL FISIKA/PENDIDIKAN FISIKA JUDUL ARTIKEL FISIKA/PENDIDIKAN FISIKA JUDUL ARTIKEL FISIKA/PENDIDIKAN FISIKA JUDUL ARTIKEL FISIKA/PENDIDIKAN FISIKA </w:t>
          </w:r>
        </w:p>
      </w:docPartBody>
    </w:docPart>
    <w:docPart>
      <w:docPartPr>
        <w:name w:val="C96BDE738CD047D092D0BEE64AFC6381"/>
        <w:category>
          <w:name w:val="General"/>
          <w:gallery w:val="placeholder"/>
        </w:category>
        <w:types>
          <w:type w:val="bbPlcHdr"/>
        </w:types>
        <w:behaviors>
          <w:behavior w:val="content"/>
        </w:behaviors>
        <w:guid w:val="{DA129188-CFC6-4365-8F55-2A14420847B4}"/>
      </w:docPartPr>
      <w:docPartBody>
        <w:p w:rsidR="009C1E34" w:rsidRDefault="00455F92">
          <w:pPr>
            <w:pStyle w:val="C96BDE738CD047D092D0BEE64AFC6381"/>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C1431CC6AD314266AD30DCBDF74D2BED"/>
        <w:category>
          <w:name w:val="General"/>
          <w:gallery w:val="placeholder"/>
        </w:category>
        <w:types>
          <w:type w:val="bbPlcHdr"/>
        </w:types>
        <w:behaviors>
          <w:behavior w:val="content"/>
        </w:behaviors>
        <w:guid w:val="{C1361BEC-CA3E-476B-A0DB-18EA41BF7C68}"/>
      </w:docPartPr>
      <w:docPartBody>
        <w:p w:rsidR="009C1E34" w:rsidRDefault="00455F92">
          <w:pPr>
            <w:pStyle w:val="C1431CC6AD314266AD30DCBDF74D2BED"/>
          </w:pPr>
          <w:r>
            <w:rPr>
              <w:rStyle w:val="PlaceholderText"/>
              <w:i/>
              <w:iCs/>
              <w:sz w:val="20"/>
              <w:szCs w:val="20"/>
            </w:rPr>
            <w:t>Afiliasi Penulis Pertama, Alamat, Nama Kota dan Kode Pos, Negara</w:t>
          </w:r>
        </w:p>
      </w:docPartBody>
    </w:docPart>
    <w:docPart>
      <w:docPartPr>
        <w:name w:val="3D21FCF5977F43B78E536C7084FBB79F"/>
        <w:category>
          <w:name w:val="General"/>
          <w:gallery w:val="placeholder"/>
        </w:category>
        <w:types>
          <w:type w:val="bbPlcHdr"/>
        </w:types>
        <w:behaviors>
          <w:behavior w:val="content"/>
        </w:behaviors>
        <w:guid w:val="{0E3F1A21-A98E-4B74-A4A4-1C7F8C801437}"/>
      </w:docPartPr>
      <w:docPartBody>
        <w:p w:rsidR="009C1E34" w:rsidRDefault="00455F92">
          <w:pPr>
            <w:pStyle w:val="3D21FCF5977F43B78E536C7084FBB79F"/>
          </w:pPr>
          <w:r>
            <w:rPr>
              <w:rStyle w:val="PlaceholderText"/>
              <w:i/>
              <w:iCs/>
              <w:sz w:val="20"/>
              <w:szCs w:val="20"/>
            </w:rPr>
            <w:t>Afiliasi Penulis Ketiga (Jika berbeda dengan afiliasi Penulis Pertama dan/atau Kedua)</w:t>
          </w:r>
        </w:p>
      </w:docPartBody>
    </w:docPart>
    <w:docPart>
      <w:docPartPr>
        <w:name w:val="442A9BF340FE4000B527D809C784FCEB"/>
        <w:category>
          <w:name w:val="General"/>
          <w:gallery w:val="placeholder"/>
        </w:category>
        <w:types>
          <w:type w:val="bbPlcHdr"/>
        </w:types>
        <w:behaviors>
          <w:behavior w:val="content"/>
        </w:behaviors>
        <w:guid w:val="{18577FEA-F49A-41BA-B3DC-1949C6025B9A}"/>
      </w:docPartPr>
      <w:docPartBody>
        <w:p w:rsidR="009C1E34" w:rsidRDefault="00455F92">
          <w:pPr>
            <w:pStyle w:val="442A9BF340FE4000B527D809C784FCEB"/>
          </w:pPr>
          <w:r>
            <w:rPr>
              <w:rStyle w:val="PlaceholderText"/>
            </w:rPr>
            <w:t>Click here to enter text.</w:t>
          </w:r>
        </w:p>
      </w:docPartBody>
    </w:docPart>
    <w:docPart>
      <w:docPartPr>
        <w:name w:val="643C260138F44A9EB7C72D63C71C43E1"/>
        <w:category>
          <w:name w:val="General"/>
          <w:gallery w:val="placeholder"/>
        </w:category>
        <w:types>
          <w:type w:val="bbPlcHdr"/>
        </w:types>
        <w:behaviors>
          <w:behavior w:val="content"/>
        </w:behaviors>
        <w:guid w:val="{666DBD16-90C4-40BA-8313-2856278CDE2D}"/>
      </w:docPartPr>
      <w:docPartBody>
        <w:p w:rsidR="009C1E34" w:rsidRDefault="00455F92">
          <w:pPr>
            <w:pStyle w:val="643C260138F44A9EB7C72D63C71C43E1"/>
          </w:pPr>
          <w:r>
            <w:rPr>
              <w:rStyle w:val="PlaceholderText"/>
              <w:sz w:val="20"/>
              <w:szCs w:val="18"/>
            </w:rPr>
            <w:t>Tuliskan alamat email di sini</w:t>
          </w:r>
        </w:p>
      </w:docPartBody>
    </w:docPart>
    <w:docPart>
      <w:docPartPr>
        <w:name w:val="853391D9A0104A57A8394A93C92EB148"/>
        <w:category>
          <w:name w:val="General"/>
          <w:gallery w:val="placeholder"/>
        </w:category>
        <w:types>
          <w:type w:val="bbPlcHdr"/>
        </w:types>
        <w:behaviors>
          <w:behavior w:val="content"/>
        </w:behaviors>
        <w:guid w:val="{CC5BB0E3-43A7-44AF-9372-90207967D144}"/>
      </w:docPartPr>
      <w:docPartBody>
        <w:p w:rsidR="009C1E34" w:rsidRDefault="00455F92">
          <w:pPr>
            <w:pStyle w:val="853391D9A0104A57A8394A93C92EB148"/>
          </w:pPr>
          <w:r>
            <w:rPr>
              <w:rStyle w:val="PlaceholderText"/>
            </w:rPr>
            <w:t>Click here to enter a date.</w:t>
          </w:r>
        </w:p>
      </w:docPartBody>
    </w:docPart>
    <w:docPart>
      <w:docPartPr>
        <w:name w:val="0BC95DF66A4D4C1187B9638EF91962FC"/>
        <w:category>
          <w:name w:val="General"/>
          <w:gallery w:val="placeholder"/>
        </w:category>
        <w:types>
          <w:type w:val="bbPlcHdr"/>
        </w:types>
        <w:behaviors>
          <w:behavior w:val="content"/>
        </w:behaviors>
        <w:guid w:val="{7D33E57B-3AEE-441C-8AA3-6EF332C978D1}"/>
      </w:docPartPr>
      <w:docPartBody>
        <w:p w:rsidR="009C1E34" w:rsidRDefault="00455F92">
          <w:pPr>
            <w:pStyle w:val="0BC95DF66A4D4C1187B9638EF91962FC"/>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E4E44BAE6E0B415BB2B9BCCADF01AB5A"/>
        <w:category>
          <w:name w:val="General"/>
          <w:gallery w:val="placeholder"/>
        </w:category>
        <w:types>
          <w:type w:val="bbPlcHdr"/>
        </w:types>
        <w:behaviors>
          <w:behavior w:val="content"/>
        </w:behaviors>
        <w:guid w:val="{74B64756-42A9-46E6-BB8A-4326728E0A14}"/>
      </w:docPartPr>
      <w:docPartBody>
        <w:p w:rsidR="009C1E34" w:rsidRDefault="00455F92">
          <w:pPr>
            <w:pStyle w:val="E4E44BAE6E0B415BB2B9BCCADF01AB5A"/>
          </w:pPr>
          <w:r>
            <w:rPr>
              <w:color w:val="808080" w:themeColor="background1" w:themeShade="80"/>
              <w:sz w:val="20"/>
            </w:rPr>
            <w:t>Isikan Keyword</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72D" w:rsidRDefault="0024072D">
      <w:pPr>
        <w:spacing w:line="240" w:lineRule="auto"/>
      </w:pPr>
      <w:r>
        <w:separator/>
      </w:r>
    </w:p>
  </w:endnote>
  <w:endnote w:type="continuationSeparator" w:id="1">
    <w:p w:rsidR="0024072D" w:rsidRDefault="0024072D">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72D" w:rsidRDefault="0024072D">
      <w:pPr>
        <w:spacing w:after="0"/>
      </w:pPr>
      <w:r>
        <w:separator/>
      </w:r>
    </w:p>
  </w:footnote>
  <w:footnote w:type="continuationSeparator" w:id="1">
    <w:p w:rsidR="0024072D" w:rsidRDefault="0024072D">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524770"/>
    <w:rsid w:val="00034D3B"/>
    <w:rsid w:val="00127CC9"/>
    <w:rsid w:val="0014165E"/>
    <w:rsid w:val="00164CCE"/>
    <w:rsid w:val="001F0BB3"/>
    <w:rsid w:val="00233091"/>
    <w:rsid w:val="0024072D"/>
    <w:rsid w:val="002409AB"/>
    <w:rsid w:val="002E66E7"/>
    <w:rsid w:val="003924EB"/>
    <w:rsid w:val="00393CCA"/>
    <w:rsid w:val="004520DC"/>
    <w:rsid w:val="00455F92"/>
    <w:rsid w:val="0048662D"/>
    <w:rsid w:val="00524770"/>
    <w:rsid w:val="0053599F"/>
    <w:rsid w:val="006C2FF0"/>
    <w:rsid w:val="00705789"/>
    <w:rsid w:val="00812F30"/>
    <w:rsid w:val="00907A39"/>
    <w:rsid w:val="009901F9"/>
    <w:rsid w:val="009C1E34"/>
    <w:rsid w:val="00A61D30"/>
    <w:rsid w:val="00BA569C"/>
    <w:rsid w:val="00C35D47"/>
    <w:rsid w:val="00DC00F4"/>
    <w:rsid w:val="00DE7311"/>
    <w:rsid w:val="00DF3A96"/>
    <w:rsid w:val="00E5494E"/>
    <w:rsid w:val="00F12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2D"/>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24072D"/>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4072D"/>
    <w:rPr>
      <w:rFonts w:ascii="Times New Roman" w:eastAsiaTheme="majorEastAsia" w:hAnsi="Times New Roman" w:cstheme="majorBidi"/>
      <w:b/>
      <w:sz w:val="24"/>
      <w:szCs w:val="32"/>
      <w:lang w:val="en-US" w:eastAsia="en-US"/>
    </w:rPr>
  </w:style>
  <w:style w:type="paragraph" w:customStyle="1" w:styleId="6E7EC250621E466687195024B6493CF3">
    <w:name w:val="6E7EC250621E466687195024B6493CF3"/>
    <w:qFormat/>
    <w:rsid w:val="0024072D"/>
    <w:pPr>
      <w:spacing w:after="200" w:line="276" w:lineRule="auto"/>
    </w:pPr>
    <w:rPr>
      <w:sz w:val="22"/>
      <w:szCs w:val="22"/>
      <w:lang w:val="en-GB" w:eastAsia="en-GB"/>
    </w:rPr>
  </w:style>
  <w:style w:type="character" w:styleId="PlaceholderText">
    <w:name w:val="Placeholder Text"/>
    <w:basedOn w:val="DefaultParagraphFont"/>
    <w:uiPriority w:val="99"/>
    <w:qFormat/>
    <w:rsid w:val="0024072D"/>
    <w:rPr>
      <w:color w:val="808080"/>
    </w:rPr>
  </w:style>
  <w:style w:type="paragraph" w:customStyle="1" w:styleId="C96BDE738CD047D092D0BEE64AFC6381">
    <w:name w:val="C96BDE738CD047D092D0BEE64AFC6381"/>
    <w:rsid w:val="0024072D"/>
    <w:pPr>
      <w:spacing w:after="200" w:line="276" w:lineRule="auto"/>
    </w:pPr>
    <w:rPr>
      <w:sz w:val="22"/>
      <w:szCs w:val="22"/>
      <w:lang w:val="en-GB" w:eastAsia="en-GB"/>
    </w:rPr>
  </w:style>
  <w:style w:type="paragraph" w:customStyle="1" w:styleId="C1431CC6AD314266AD30DCBDF74D2BED">
    <w:name w:val="C1431CC6AD314266AD30DCBDF74D2BED"/>
    <w:rsid w:val="0024072D"/>
    <w:pPr>
      <w:spacing w:after="200" w:line="276" w:lineRule="auto"/>
    </w:pPr>
    <w:rPr>
      <w:sz w:val="22"/>
      <w:szCs w:val="22"/>
      <w:lang w:val="en-GB" w:eastAsia="en-GB"/>
    </w:rPr>
  </w:style>
  <w:style w:type="paragraph" w:customStyle="1" w:styleId="3D21FCF5977F43B78E536C7084FBB79F">
    <w:name w:val="3D21FCF5977F43B78E536C7084FBB79F"/>
    <w:rsid w:val="0024072D"/>
    <w:pPr>
      <w:spacing w:after="200" w:line="276" w:lineRule="auto"/>
    </w:pPr>
    <w:rPr>
      <w:sz w:val="22"/>
      <w:szCs w:val="22"/>
      <w:lang w:val="en-GB" w:eastAsia="en-GB"/>
    </w:rPr>
  </w:style>
  <w:style w:type="paragraph" w:customStyle="1" w:styleId="442A9BF340FE4000B527D809C784FCEB">
    <w:name w:val="442A9BF340FE4000B527D809C784FCEB"/>
    <w:rsid w:val="0024072D"/>
    <w:pPr>
      <w:spacing w:after="200" w:line="276" w:lineRule="auto"/>
    </w:pPr>
    <w:rPr>
      <w:sz w:val="22"/>
      <w:szCs w:val="22"/>
      <w:lang w:val="en-GB" w:eastAsia="en-GB"/>
    </w:rPr>
  </w:style>
  <w:style w:type="paragraph" w:customStyle="1" w:styleId="643C260138F44A9EB7C72D63C71C43E1">
    <w:name w:val="643C260138F44A9EB7C72D63C71C43E1"/>
    <w:rsid w:val="0024072D"/>
    <w:pPr>
      <w:spacing w:after="200" w:line="276" w:lineRule="auto"/>
    </w:pPr>
    <w:rPr>
      <w:sz w:val="22"/>
      <w:szCs w:val="22"/>
      <w:lang w:val="en-GB" w:eastAsia="en-GB"/>
    </w:rPr>
  </w:style>
  <w:style w:type="paragraph" w:customStyle="1" w:styleId="853391D9A0104A57A8394A93C92EB148">
    <w:name w:val="853391D9A0104A57A8394A93C92EB148"/>
    <w:rsid w:val="0024072D"/>
    <w:pPr>
      <w:spacing w:after="200" w:line="276" w:lineRule="auto"/>
    </w:pPr>
    <w:rPr>
      <w:sz w:val="22"/>
      <w:szCs w:val="22"/>
      <w:lang w:val="en-GB" w:eastAsia="en-GB"/>
    </w:rPr>
  </w:style>
  <w:style w:type="paragraph" w:customStyle="1" w:styleId="0BC95DF66A4D4C1187B9638EF91962FC">
    <w:name w:val="0BC95DF66A4D4C1187B9638EF91962FC"/>
    <w:rsid w:val="0024072D"/>
    <w:pPr>
      <w:spacing w:after="200" w:line="276" w:lineRule="auto"/>
    </w:pPr>
    <w:rPr>
      <w:sz w:val="22"/>
      <w:szCs w:val="22"/>
      <w:lang w:val="en-GB" w:eastAsia="en-GB"/>
    </w:rPr>
  </w:style>
  <w:style w:type="paragraph" w:customStyle="1" w:styleId="E4E44BAE6E0B415BB2B9BCCADF01AB5A">
    <w:name w:val="E4E44BAE6E0B415BB2B9BCCADF01AB5A"/>
    <w:qFormat/>
    <w:rsid w:val="0024072D"/>
    <w:pPr>
      <w:spacing w:after="200" w:line="276" w:lineRule="auto"/>
    </w:pPr>
    <w:rPr>
      <w:sz w:val="22"/>
      <w:szCs w:val="22"/>
      <w:lang w:val="en-GB" w:eastAsia="en-GB"/>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814E587-99CE-47D2-BB6F-44AA967C7F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4</TotalTime>
  <Pages>9</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Indo Computindo</Company>
  <LinksUpToDate>false</LinksUpToDate>
  <CharactersWithSpaces>25105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THOSIBA</cp:lastModifiedBy>
  <cp:revision>5</cp:revision>
  <dcterms:created xsi:type="dcterms:W3CDTF">2022-01-28T14:33:00Z</dcterms:created>
  <dcterms:modified xsi:type="dcterms:W3CDTF">2022-01-28T14:39:00Z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EB5CA80D91E043F39EEC2479B0BB5ED9</vt:lpwstr>
  </property>
</Properties>
</file>