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tr w:rsidR="00CA20B8" w14:paraId="2AAFB0BA" w14:textId="77777777">
        <w:tc>
          <w:tcPr>
            <w:tcW w:w="9062" w:type="dxa"/>
            <w:tcMar>
              <w:left w:w="0" w:type="dxa"/>
              <w:right w:w="0" w:type="dxa"/>
            </w:tcMar>
          </w:tcPr>
          <w:p w14:paraId="6E9A25F9" w14:textId="77777777" w:rsidR="00CA20B8" w:rsidRDefault="003225D9">
            <w:pPr>
              <w:spacing w:after="240" w:line="240" w:lineRule="auto"/>
              <w:jc w:val="center"/>
              <w:rPr>
                <w:rFonts w:eastAsia="SimSun"/>
                <w:b/>
                <w:szCs w:val="32"/>
              </w:rPr>
            </w:pPr>
            <w:r>
              <w:rPr>
                <w:b/>
                <w:color w:val="000000"/>
                <w:szCs w:val="28"/>
              </w:rPr>
              <w:t xml:space="preserve">ANALYSIS OF SOIL ACCELERATION IN THE MENTAWAI REGION WITH THE METHOD </w:t>
            </w:r>
            <w:r>
              <w:rPr>
                <w:b/>
                <w:i/>
                <w:szCs w:val="28"/>
              </w:rPr>
              <w:t>HAZARD PROBABILISTIC SEISMIC ANALYSIS</w:t>
            </w:r>
            <w:r>
              <w:rPr>
                <w:b/>
                <w:szCs w:val="28"/>
              </w:rPr>
              <w:t xml:space="preserve"> (PSHA)</w:t>
            </w:r>
          </w:p>
        </w:tc>
      </w:tr>
      <w:tr w:rsidR="00CA20B8" w14:paraId="0BBDC426" w14:textId="77777777">
        <w:tc>
          <w:tcPr>
            <w:tcW w:w="9062" w:type="dxa"/>
            <w:tcMar>
              <w:left w:w="0" w:type="dxa"/>
              <w:right w:w="0" w:type="dxa"/>
            </w:tcMar>
          </w:tcPr>
          <w:p w14:paraId="311B9F5F" w14:textId="77777777" w:rsidR="00CA20B8" w:rsidRDefault="003225D9">
            <w:pPr>
              <w:spacing w:after="120" w:line="240" w:lineRule="auto"/>
              <w:jc w:val="center"/>
              <w:rPr>
                <w:rStyle w:val="Heading1Char"/>
              </w:rPr>
            </w:pPr>
            <w:r>
              <w:rPr>
                <w:rFonts w:eastAsia="SimSun"/>
                <w:bCs/>
                <w:color w:val="000000"/>
                <w:szCs w:val="32"/>
              </w:rPr>
              <w:t>Matias Adam CC Laia</w:t>
            </w:r>
            <w:r>
              <w:rPr>
                <w:rStyle w:val="PlaceholderText"/>
                <w:color w:val="000000"/>
                <w:vertAlign w:val="superscript"/>
              </w:rPr>
              <w:t>1</w:t>
            </w:r>
            <w:r>
              <w:rPr>
                <w:rStyle w:val="PlaceholderText"/>
                <w:color w:val="000000"/>
              </w:rPr>
              <w:t xml:space="preserve">, </w:t>
            </w:r>
            <w:r>
              <w:rPr>
                <w:rFonts w:eastAsia="SimSun" w:cs="Times New Roman"/>
                <w:szCs w:val="24"/>
                <w:lang w:val="id-ID" w:eastAsia="id-ID"/>
              </w:rPr>
              <w:t>Syafriani</w:t>
            </w:r>
            <w:r>
              <w:rPr>
                <w:rStyle w:val="PlaceholderText"/>
                <w:color w:val="000000"/>
                <w:vertAlign w:val="superscript"/>
              </w:rPr>
              <w:t>1</w:t>
            </w:r>
            <w:r>
              <w:rPr>
                <w:rStyle w:val="PlaceholderText"/>
                <w:color w:val="000000"/>
              </w:rPr>
              <w:t>*</w:t>
            </w:r>
          </w:p>
        </w:tc>
      </w:tr>
      <w:tr w:rsidR="00CA20B8" w14:paraId="0E55318F" w14:textId="77777777">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1"/>
              <w:gridCol w:w="8041"/>
            </w:tblGrid>
            <w:tr w:rsidR="00CA20B8" w14:paraId="1A8220FA" w14:textId="77777777">
              <w:tc>
                <w:tcPr>
                  <w:tcW w:w="9062" w:type="dxa"/>
                  <w:gridSpan w:val="2"/>
                  <w:tcMar>
                    <w:left w:w="0" w:type="dxa"/>
                    <w:right w:w="0" w:type="dxa"/>
                  </w:tcMar>
                </w:tcPr>
                <w:p w14:paraId="0A1AA7F8" w14:textId="77777777" w:rsidR="00CA20B8" w:rsidRDefault="003225D9">
                  <w:pPr>
                    <w:spacing w:after="0" w:line="240" w:lineRule="auto"/>
                    <w:jc w:val="center"/>
                    <w:rPr>
                      <w:sz w:val="20"/>
                      <w:szCs w:val="20"/>
                    </w:rPr>
                  </w:pPr>
                  <w:r>
                    <w:rPr>
                      <w:sz w:val="20"/>
                      <w:szCs w:val="20"/>
                      <w:vertAlign w:val="superscript"/>
                    </w:rPr>
                    <w:t xml:space="preserve">1 </w:t>
                  </w:r>
                  <w:r>
                    <w:rPr>
                      <w:rStyle w:val="PlaceholderText"/>
                      <w:i/>
                      <w:iCs/>
                      <w:color w:val="000000"/>
                      <w:sz w:val="20"/>
                      <w:szCs w:val="20"/>
                    </w:rPr>
                    <w:t xml:space="preserve">Department of Physics, Universitas Negeri Padang, Jl. Prof. Dr. </w:t>
                  </w:r>
                  <w:proofErr w:type="spellStart"/>
                  <w:r>
                    <w:rPr>
                      <w:rStyle w:val="PlaceholderText"/>
                      <w:i/>
                      <w:iCs/>
                      <w:color w:val="000000"/>
                      <w:sz w:val="20"/>
                      <w:szCs w:val="20"/>
                    </w:rPr>
                    <w:t>Hamka</w:t>
                  </w:r>
                  <w:proofErr w:type="spellEnd"/>
                  <w:r>
                    <w:rPr>
                      <w:rStyle w:val="PlaceholderText"/>
                      <w:i/>
                      <w:iCs/>
                      <w:color w:val="000000"/>
                      <w:sz w:val="20"/>
                      <w:szCs w:val="20"/>
                    </w:rPr>
                    <w:t xml:space="preserve"> Air </w:t>
                  </w:r>
                  <w:proofErr w:type="spellStart"/>
                  <w:r>
                    <w:rPr>
                      <w:rStyle w:val="PlaceholderText"/>
                      <w:i/>
                      <w:iCs/>
                      <w:color w:val="000000"/>
                      <w:sz w:val="20"/>
                      <w:szCs w:val="20"/>
                    </w:rPr>
                    <w:t>Tawar</w:t>
                  </w:r>
                  <w:proofErr w:type="spellEnd"/>
                  <w:r>
                    <w:rPr>
                      <w:rStyle w:val="PlaceholderText"/>
                      <w:i/>
                      <w:iCs/>
                      <w:color w:val="000000"/>
                      <w:sz w:val="20"/>
                      <w:szCs w:val="20"/>
                    </w:rPr>
                    <w:t xml:space="preserve"> Padang 25131, </w:t>
                  </w:r>
                  <w:r>
                    <w:rPr>
                      <w:rStyle w:val="PlaceholderText"/>
                      <w:i/>
                      <w:iCs/>
                      <w:color w:val="000000"/>
                      <w:sz w:val="20"/>
                      <w:szCs w:val="20"/>
                    </w:rPr>
                    <w:t>Indonesia</w:t>
                  </w:r>
                  <w:r>
                    <w:rPr>
                      <w:rStyle w:val="PlaceholderText"/>
                      <w:i/>
                      <w:iCs/>
                      <w:sz w:val="20"/>
                      <w:szCs w:val="20"/>
                    </w:rPr>
                    <w:t xml:space="preserve">  </w:t>
                  </w:r>
                </w:p>
                <w:p w14:paraId="3BAA977B" w14:textId="77777777" w:rsidR="00CA20B8" w:rsidRDefault="003225D9">
                  <w:pPr>
                    <w:spacing w:after="240" w:line="240" w:lineRule="auto"/>
                    <w:jc w:val="center"/>
                  </w:pPr>
                  <w:r>
                    <w:rPr>
                      <w:i/>
                      <w:iCs/>
                      <w:sz w:val="20"/>
                      <w:szCs w:val="18"/>
                    </w:rPr>
                    <w:t>Corresponding author. Email:</w:t>
                  </w:r>
                  <w:r>
                    <w:rPr>
                      <w:sz w:val="20"/>
                      <w:szCs w:val="18"/>
                    </w:rPr>
                    <w:t xml:space="preserve"> </w:t>
                  </w:r>
                  <w:r>
                    <w:rPr>
                      <w:color w:val="000000"/>
                      <w:sz w:val="20"/>
                      <w:szCs w:val="18"/>
                    </w:rPr>
                    <w:t xml:space="preserve"> matiasadam86@gmail.com ,</w:t>
                  </w:r>
                  <w:r>
                    <w:rPr>
                      <w:color w:val="000000"/>
                      <w:sz w:val="20"/>
                      <w:szCs w:val="18"/>
                      <w:lang w:val="id-ID"/>
                    </w:rPr>
                    <w:t>syafri@fmipa.unp.ac.id</w:t>
                  </w:r>
                  <w:r>
                    <w:rPr>
                      <w:i/>
                      <w:iCs/>
                    </w:rPr>
                    <w:t xml:space="preserve"> </w:t>
                  </w:r>
                  <w:r>
                    <w:t xml:space="preserve">  </w:t>
                  </w:r>
                </w:p>
              </w:tc>
            </w:tr>
            <w:tr w:rsidR="00CA20B8" w14:paraId="33DC4ECE" w14:textId="77777777">
              <w:tc>
                <w:tcPr>
                  <w:tcW w:w="9062" w:type="dxa"/>
                  <w:gridSpan w:val="2"/>
                  <w:tcMar>
                    <w:left w:w="0" w:type="dxa"/>
                    <w:right w:w="0" w:type="dxa"/>
                  </w:tcMar>
                </w:tcPr>
                <w:p w14:paraId="0D37E1C1" w14:textId="77777777" w:rsidR="00CA20B8" w:rsidRDefault="003225D9">
                  <w:pPr>
                    <w:spacing w:before="240" w:after="120" w:line="240" w:lineRule="auto"/>
                    <w:jc w:val="center"/>
                    <w:rPr>
                      <w:b/>
                    </w:rPr>
                  </w:pPr>
                  <w:r>
                    <w:rPr>
                      <w:b/>
                      <w:sz w:val="20"/>
                    </w:rPr>
                    <w:t>ABSTRACT</w:t>
                  </w:r>
                </w:p>
              </w:tc>
            </w:tr>
            <w:tr w:rsidR="00CA20B8" w14:paraId="03419E8E" w14:textId="77777777">
              <w:tc>
                <w:tcPr>
                  <w:tcW w:w="9062" w:type="dxa"/>
                  <w:gridSpan w:val="2"/>
                  <w:tcMar>
                    <w:left w:w="0" w:type="dxa"/>
                    <w:right w:w="0" w:type="dxa"/>
                  </w:tcMar>
                </w:tcPr>
                <w:p w14:paraId="25C7F653" w14:textId="77777777" w:rsidR="00CA20B8" w:rsidRDefault="003225D9">
                  <w:pPr>
                    <w:spacing w:after="0" w:line="240" w:lineRule="auto"/>
                    <w:ind w:firstLine="567"/>
                    <w:jc w:val="both"/>
                    <w:rPr>
                      <w:b/>
                      <w:sz w:val="20"/>
                    </w:rPr>
                  </w:pPr>
                  <w:r>
                    <w:rPr>
                      <w:rFonts w:eastAsia="Times New Roman" w:cs="Times New Roman"/>
                      <w:sz w:val="20"/>
                      <w:szCs w:val="20"/>
                    </w:rPr>
                    <w:t xml:space="preserve">The Mentawai Islands are one of the areas that are active in seismicity. An earthquake measuring 7.2 on the Richter scale on October 25, 2010 </w:t>
                  </w:r>
                  <w:r>
                    <w:rPr>
                      <w:rFonts w:eastAsia="Times New Roman" w:cs="Times New Roman"/>
                      <w:sz w:val="20"/>
                      <w:szCs w:val="20"/>
                    </w:rPr>
                    <w:t>resulted in many casualties and material losses. Many buildings collapsed and facilities were damaged so that space managers needed a seismic hazard map to be able to organize the space by considering the disaster aspect. This prompted researchers to condu</w:t>
                  </w:r>
                  <w:r>
                    <w:rPr>
                      <w:rFonts w:eastAsia="Times New Roman" w:cs="Times New Roman"/>
                      <w:sz w:val="20"/>
                      <w:szCs w:val="20"/>
                    </w:rPr>
                    <w:t>ct research aimed at making seismic hazard maps and knowing the level of earthquake hazard in the Mentawai region. Seismic hazard maps are useful in planning earthquake-resistant buildings and can describe the effects of earthquakes at a location which wil</w:t>
                  </w:r>
                  <w:r>
                    <w:rPr>
                      <w:rFonts w:eastAsia="Times New Roman" w:cs="Times New Roman"/>
                      <w:sz w:val="20"/>
                      <w:szCs w:val="20"/>
                    </w:rPr>
                    <w:t>l help in anticipating community preparedness and earthquake disaster mitigation efforts. Seismic hazard data processing uses the Probabilistic Seismic Hazard Analysis (PSHA) method. PSHA is based on earthquake parameters that produce the largest ground mo</w:t>
                  </w:r>
                  <w:r>
                    <w:rPr>
                      <w:rFonts w:eastAsia="Times New Roman" w:cs="Times New Roman"/>
                      <w:sz w:val="20"/>
                      <w:szCs w:val="20"/>
                    </w:rPr>
                    <w:t xml:space="preserve">tion. The magnitude of the intensity at a location due to an </w:t>
                  </w:r>
                  <w:proofErr w:type="spellStart"/>
                  <w:r>
                    <w:rPr>
                      <w:rFonts w:eastAsia="Times New Roman" w:cs="Times New Roman"/>
                      <w:sz w:val="20"/>
                      <w:szCs w:val="20"/>
                    </w:rPr>
                    <w:t>earthquake</w:t>
                  </w:r>
                  <w:r>
                    <w:rPr>
                      <w:rFonts w:eastAsia="Gungsuh" w:cs="Times New Roman"/>
                      <w:sz w:val="20"/>
                      <w:szCs w:val="20"/>
                    </w:rPr>
                    <w:t>in</w:t>
                  </w:r>
                  <w:proofErr w:type="spellEnd"/>
                  <w:r>
                    <w:rPr>
                      <w:rFonts w:eastAsia="Gungsuh" w:cs="Times New Roman"/>
                      <w:sz w:val="20"/>
                      <w:szCs w:val="20"/>
                    </w:rPr>
                    <w:t xml:space="preserve"> the earthquake source area with a magnitude of M and a distance of R, the attenuation function can be used. The attenuation functions in this study are Joyner-</w:t>
                  </w:r>
                  <w:proofErr w:type="spellStart"/>
                  <w:r>
                    <w:rPr>
                      <w:rFonts w:eastAsia="Gungsuh" w:cs="Times New Roman"/>
                      <w:sz w:val="20"/>
                      <w:szCs w:val="20"/>
                    </w:rPr>
                    <w:t>Boore</w:t>
                  </w:r>
                  <w:proofErr w:type="spellEnd"/>
                  <w:r>
                    <w:rPr>
                      <w:rFonts w:eastAsia="Gungsuh" w:cs="Times New Roman"/>
                      <w:sz w:val="20"/>
                      <w:szCs w:val="20"/>
                    </w:rPr>
                    <w:t xml:space="preserve"> (1997) and Young </w:t>
                  </w:r>
                  <w:r>
                    <w:rPr>
                      <w:rFonts w:eastAsia="Gungsuh" w:cs="Times New Roman"/>
                      <w:sz w:val="20"/>
                      <w:szCs w:val="20"/>
                    </w:rPr>
                    <w:t xml:space="preserve">et al (1997). This type of research is descriptive, namely by collecting NEIC/USGS earthquake catalog data for the period 1950 - 2021 with M 5 </w:t>
                  </w:r>
                  <w:proofErr w:type="spellStart"/>
                  <w:r>
                    <w:rPr>
                      <w:rFonts w:eastAsia="Gungsuh" w:cs="Times New Roman"/>
                      <w:sz w:val="20"/>
                      <w:szCs w:val="20"/>
                    </w:rPr>
                    <w:t>SR.</w:t>
                  </w:r>
                  <w:r>
                    <w:rPr>
                      <w:sz w:val="20"/>
                      <w:szCs w:val="24"/>
                    </w:rPr>
                    <w:t>The</w:t>
                  </w:r>
                  <w:proofErr w:type="spellEnd"/>
                  <w:r>
                    <w:rPr>
                      <w:sz w:val="20"/>
                      <w:szCs w:val="24"/>
                    </w:rPr>
                    <w:t xml:space="preserve"> results of this study indicate that the area of</w:t>
                  </w:r>
                  <w:r>
                    <w:rPr>
                      <w:sz w:val="20"/>
                      <w:szCs w:val="24"/>
                    </w:rPr>
                    <w:t xml:space="preserve"> </w:t>
                  </w:r>
                  <w:proofErr w:type="spellStart"/>
                  <w:r>
                    <w:rPr>
                      <w:sz w:val="20"/>
                      <w:szCs w:val="24"/>
                    </w:rPr>
                    <w:t>y</w:t>
                  </w:r>
                  <w:r>
                    <w:rPr>
                      <w:sz w:val="20"/>
                      <w:szCs w:val="24"/>
                    </w:rPr>
                    <w:t>which</w:t>
                  </w:r>
                  <w:proofErr w:type="spellEnd"/>
                  <w:r>
                    <w:rPr>
                      <w:sz w:val="20"/>
                      <w:szCs w:val="24"/>
                    </w:rPr>
                    <w:t xml:space="preserve"> has a high level of seismic hazard is found in </w:t>
                  </w:r>
                  <w:r>
                    <w:rPr>
                      <w:sz w:val="20"/>
                      <w:szCs w:val="24"/>
                    </w:rPr>
                    <w:t xml:space="preserve">the </w:t>
                  </w:r>
                  <w:proofErr w:type="spellStart"/>
                  <w:r>
                    <w:rPr>
                      <w:sz w:val="20"/>
                      <w:szCs w:val="24"/>
                    </w:rPr>
                    <w:t>Siberut</w:t>
                  </w:r>
                  <w:proofErr w:type="spellEnd"/>
                  <w:r>
                    <w:rPr>
                      <w:sz w:val="20"/>
                      <w:szCs w:val="24"/>
                    </w:rPr>
                    <w:t xml:space="preserve"> area with a maximum PGA range of 1.17 g - 3.70 g. The area with a low seismic hazard level is the </w:t>
                  </w:r>
                  <w:proofErr w:type="spellStart"/>
                  <w:r>
                    <w:rPr>
                      <w:sz w:val="20"/>
                      <w:szCs w:val="24"/>
                    </w:rPr>
                    <w:t>Pagai</w:t>
                  </w:r>
                  <w:proofErr w:type="spellEnd"/>
                  <w:r>
                    <w:rPr>
                      <w:sz w:val="20"/>
                      <w:szCs w:val="24"/>
                    </w:rPr>
                    <w:t xml:space="preserve"> area with a PGA range of 0.80 g - 2.86 g. This result represents a 10% chance of being exceeded in 50 years.</w:t>
                  </w:r>
                </w:p>
              </w:tc>
            </w:tr>
            <w:tr w:rsidR="00CA20B8" w14:paraId="6341DB15" w14:textId="77777777">
              <w:tc>
                <w:tcPr>
                  <w:tcW w:w="9062" w:type="dxa"/>
                  <w:gridSpan w:val="2"/>
                  <w:tcBorders>
                    <w:bottom w:val="nil"/>
                  </w:tcBorders>
                  <w:tcMar>
                    <w:left w:w="0" w:type="dxa"/>
                    <w:right w:w="0" w:type="dxa"/>
                  </w:tcMar>
                </w:tcPr>
                <w:p w14:paraId="076C5D3E" w14:textId="77777777" w:rsidR="00CA20B8" w:rsidRDefault="00CA20B8">
                  <w:pPr>
                    <w:spacing w:after="0" w:line="240" w:lineRule="auto"/>
                    <w:rPr>
                      <w:b/>
                      <w:sz w:val="20"/>
                    </w:rPr>
                  </w:pPr>
                </w:p>
              </w:tc>
            </w:tr>
            <w:tr w:rsidR="00CA20B8" w14:paraId="428DC2DB" w14:textId="77777777">
              <w:tc>
                <w:tcPr>
                  <w:tcW w:w="9062" w:type="dxa"/>
                  <w:gridSpan w:val="2"/>
                  <w:tcBorders>
                    <w:bottom w:val="single" w:sz="4" w:space="0" w:color="auto"/>
                  </w:tcBorders>
                  <w:tcMar>
                    <w:left w:w="0" w:type="dxa"/>
                    <w:right w:w="0" w:type="dxa"/>
                  </w:tcMar>
                </w:tcPr>
                <w:p w14:paraId="707E9101" w14:textId="77777777" w:rsidR="00CA20B8" w:rsidRDefault="003225D9">
                  <w:pPr>
                    <w:spacing w:after="0" w:line="240" w:lineRule="auto"/>
                    <w:rPr>
                      <w:b/>
                      <w:sz w:val="20"/>
                    </w:rPr>
                  </w:pPr>
                  <w:r>
                    <w:rPr>
                      <w:b/>
                      <w:sz w:val="20"/>
                    </w:rPr>
                    <w:t xml:space="preserve">Keywords : </w:t>
                  </w:r>
                  <w:r>
                    <w:rPr>
                      <w:i/>
                      <w:color w:val="000000"/>
                      <w:sz w:val="20"/>
                    </w:rPr>
                    <w:t>Earthquake, Hazar</w:t>
                  </w:r>
                  <w:r>
                    <w:rPr>
                      <w:i/>
                      <w:color w:val="000000"/>
                      <w:sz w:val="20"/>
                    </w:rPr>
                    <w:t>d, PGA, PSHA</w:t>
                  </w:r>
                </w:p>
              </w:tc>
            </w:tr>
            <w:tr w:rsidR="00CA20B8" w14:paraId="2E83E5FB" w14:textId="77777777">
              <w:tc>
                <w:tcPr>
                  <w:tcW w:w="993" w:type="dxa"/>
                  <w:tcBorders>
                    <w:top w:val="single" w:sz="4" w:space="0" w:color="auto"/>
                    <w:bottom w:val="nil"/>
                  </w:tcBorders>
                  <w:tcMar>
                    <w:left w:w="0" w:type="dxa"/>
                    <w:right w:w="0" w:type="dxa"/>
                  </w:tcMar>
                </w:tcPr>
                <w:p w14:paraId="53793030" w14:textId="77777777" w:rsidR="00CA20B8" w:rsidRDefault="00CA20B8">
                  <w:pPr>
                    <w:spacing w:after="0" w:line="240" w:lineRule="auto"/>
                    <w:rPr>
                      <w:sz w:val="4"/>
                    </w:rPr>
                  </w:pPr>
                </w:p>
                <w:p w14:paraId="6B3A791A" w14:textId="77777777" w:rsidR="00CA20B8" w:rsidRDefault="003225D9">
                  <w:pPr>
                    <w:spacing w:after="0" w:line="240" w:lineRule="auto"/>
                    <w:rPr>
                      <w:b/>
                      <w:sz w:val="20"/>
                    </w:rPr>
                  </w:pPr>
                  <w:r>
                    <w:rPr>
                      <w:noProof/>
                    </w:rPr>
                    <w:drawing>
                      <wp:inline distT="0" distB="0" distL="0" distR="0" wp14:anchorId="7C467226" wp14:editId="35960BC0">
                        <wp:extent cx="648335" cy="228600"/>
                        <wp:effectExtent l="0" t="0" r="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9" cstate="print"/>
                                <a:srcRect/>
                                <a:stretch>
                                  <a:fillRect/>
                                </a:stretch>
                              </pic:blipFill>
                              <pic:spPr>
                                <a:xfrm>
                                  <a:off x="0" y="0"/>
                                  <a:ext cx="648335" cy="228600"/>
                                </a:xfrm>
                                <a:prstGeom prst="rect">
                                  <a:avLst/>
                                </a:prstGeom>
                              </pic:spPr>
                            </pic:pic>
                          </a:graphicData>
                        </a:graphic>
                      </wp:inline>
                    </w:drawing>
                  </w:r>
                </w:p>
              </w:tc>
              <w:tc>
                <w:tcPr>
                  <w:tcW w:w="8069" w:type="dxa"/>
                  <w:tcBorders>
                    <w:top w:val="single" w:sz="4" w:space="0" w:color="auto"/>
                    <w:bottom w:val="nil"/>
                  </w:tcBorders>
                </w:tcPr>
                <w:p w14:paraId="3D44C837" w14:textId="77777777" w:rsidR="00CA20B8" w:rsidRDefault="00CA20B8">
                  <w:pPr>
                    <w:spacing w:after="0" w:line="276" w:lineRule="auto"/>
                    <w:jc w:val="both"/>
                    <w:rPr>
                      <w:b/>
                      <w:sz w:val="4"/>
                      <w:szCs w:val="12"/>
                    </w:rPr>
                  </w:pPr>
                </w:p>
                <w:p w14:paraId="12C1C3DE" w14:textId="77777777" w:rsidR="00CA20B8" w:rsidRDefault="003225D9">
                  <w:pPr>
                    <w:spacing w:after="0" w:line="276" w:lineRule="auto"/>
                    <w:jc w:val="both"/>
                    <w:rPr>
                      <w:b/>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©202</w:t>
                  </w:r>
                  <w:r>
                    <w:rPr>
                      <w:b/>
                      <w:sz w:val="12"/>
                      <w:szCs w:val="12"/>
                    </w:rPr>
                    <w:t xml:space="preserve">1 </w:t>
                  </w:r>
                  <w:r>
                    <w:rPr>
                      <w:b/>
                      <w:sz w:val="12"/>
                      <w:szCs w:val="12"/>
                    </w:rPr>
                    <w:t xml:space="preserve">by </w:t>
                  </w:r>
                  <w:r>
                    <w:rPr>
                      <w:b/>
                      <w:sz w:val="12"/>
                      <w:szCs w:val="12"/>
                    </w:rPr>
                    <w:t>author and Universitas Negeri Padang.</w:t>
                  </w:r>
                </w:p>
              </w:tc>
            </w:tr>
            <w:tr w:rsidR="00CA20B8" w14:paraId="3600F5A7" w14:textId="77777777">
              <w:tc>
                <w:tcPr>
                  <w:tcW w:w="9062" w:type="dxa"/>
                  <w:gridSpan w:val="2"/>
                  <w:tcBorders>
                    <w:bottom w:val="single" w:sz="4" w:space="0" w:color="auto"/>
                  </w:tcBorders>
                  <w:tcMar>
                    <w:left w:w="0" w:type="dxa"/>
                    <w:right w:w="0" w:type="dxa"/>
                  </w:tcMar>
                </w:tcPr>
                <w:p w14:paraId="151A88DB" w14:textId="77777777" w:rsidR="00CA20B8" w:rsidRDefault="00CA20B8">
                  <w:pPr>
                    <w:spacing w:after="0" w:line="240" w:lineRule="auto"/>
                    <w:rPr>
                      <w:b/>
                      <w:sz w:val="8"/>
                    </w:rPr>
                  </w:pPr>
                </w:p>
              </w:tc>
            </w:tr>
            <w:tr w:rsidR="00CA20B8" w14:paraId="7BE6DF5D" w14:textId="77777777">
              <w:tc>
                <w:tcPr>
                  <w:tcW w:w="9062" w:type="dxa"/>
                  <w:gridSpan w:val="2"/>
                  <w:tcBorders>
                    <w:top w:val="single" w:sz="4" w:space="0" w:color="auto"/>
                    <w:bottom w:val="nil"/>
                  </w:tcBorders>
                  <w:tcMar>
                    <w:left w:w="0" w:type="dxa"/>
                    <w:right w:w="0" w:type="dxa"/>
                  </w:tcMar>
                </w:tcPr>
                <w:p w14:paraId="5DDCD511" w14:textId="77777777" w:rsidR="00CA20B8" w:rsidRDefault="00CA20B8">
                  <w:pPr>
                    <w:spacing w:after="0" w:line="240" w:lineRule="auto"/>
                    <w:rPr>
                      <w:b/>
                      <w:sz w:val="10"/>
                    </w:rPr>
                  </w:pPr>
                </w:p>
              </w:tc>
            </w:tr>
          </w:tbl>
          <w:p w14:paraId="6313EC18" w14:textId="77777777" w:rsidR="00CA20B8" w:rsidRDefault="00CA20B8">
            <w:pPr>
              <w:spacing w:after="120" w:line="240" w:lineRule="auto"/>
              <w:jc w:val="center"/>
              <w:rPr>
                <w:rFonts w:eastAsia="SimSun"/>
                <w:b/>
                <w:szCs w:val="32"/>
              </w:rPr>
            </w:pPr>
          </w:p>
        </w:tc>
      </w:tr>
    </w:tbl>
    <w:p w14:paraId="755AF072" w14:textId="77777777" w:rsidR="00CA20B8" w:rsidRDefault="00CA20B8">
      <w:pPr>
        <w:spacing w:after="0" w:line="240" w:lineRule="auto"/>
        <w:sectPr w:rsidR="00CA20B8">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701" w:right="1134" w:bottom="1418" w:left="1701" w:header="720" w:footer="720" w:gutter="0"/>
          <w:cols w:space="720"/>
          <w:titlePg/>
          <w:docGrid w:linePitch="360"/>
        </w:sectPr>
      </w:pPr>
    </w:p>
    <w:p w14:paraId="3CC739C7" w14:textId="77777777" w:rsidR="00CA20B8" w:rsidRDefault="003225D9">
      <w:pPr>
        <w:pStyle w:val="Heading1"/>
        <w:numPr>
          <w:ilvl w:val="0"/>
          <w:numId w:val="5"/>
        </w:numPr>
        <w:spacing w:after="240" w:line="276" w:lineRule="auto"/>
        <w:ind w:left="0" w:firstLine="0"/>
        <w:jc w:val="left"/>
        <w:rPr>
          <w:bCs/>
          <w:sz w:val="21"/>
        </w:rPr>
      </w:pPr>
      <w:r>
        <w:rPr>
          <w:bCs/>
          <w:sz w:val="21"/>
        </w:rPr>
        <w:t>INTRODUCTION</w:t>
      </w:r>
    </w:p>
    <w:p w14:paraId="42006494" w14:textId="77777777" w:rsidR="00CA20B8" w:rsidRDefault="003225D9">
      <w:pPr>
        <w:pStyle w:val="ListParagraph"/>
        <w:snapToGrid w:val="0"/>
        <w:spacing w:after="0" w:line="260" w:lineRule="auto"/>
        <w:ind w:left="0" w:firstLine="431"/>
        <w:jc w:val="both"/>
        <w:rPr>
          <w:rFonts w:eastAsia="SimSun" w:cs="Times New Roman"/>
          <w:color w:val="000000"/>
          <w:sz w:val="20"/>
          <w:szCs w:val="20"/>
          <w:lang w:val="id-ID" w:eastAsia="id-ID"/>
        </w:rPr>
      </w:pPr>
      <w:r>
        <w:rPr>
          <w:sz w:val="20"/>
          <w:szCs w:val="24"/>
        </w:rPr>
        <w:t xml:space="preserve">Sumatra Island is one of the regions that has a unique tectonic setting. This is because the island of Sumatra has two geological conditions that can affect the activities and tectonic conditions of the island of Sumatra. First, the </w:t>
      </w:r>
      <w:r>
        <w:rPr>
          <w:sz w:val="20"/>
          <w:szCs w:val="24"/>
        </w:rPr>
        <w:t>subduction zone, which is the boundary between the Indian-Australian plate, which pushes into the Eurasian plate. In this subduction zone, which is the path of plate movement, so that this plate movement has the potential to cause an earthquake with a rela</w:t>
      </w:r>
      <w:r>
        <w:rPr>
          <w:sz w:val="20"/>
          <w:szCs w:val="24"/>
        </w:rPr>
        <w:t>tively larger magnitude so that it is very likely to cause a tsunami.</w:t>
      </w:r>
      <w:r>
        <w:rPr>
          <w:sz w:val="20"/>
          <w:szCs w:val="24"/>
        </w:rPr>
        <w:fldChar w:fldCharType="begin"/>
      </w:r>
      <w:r>
        <w:rPr>
          <w:sz w:val="20"/>
          <w:szCs w:val="24"/>
        </w:rPr>
        <w:instrText>ADDIN CSL_CITATION {"citationItems":[{"id":"ITEM-1","itemData":{"author":[{"dropping-particle":"","family":"Madlazim","given":"","non-dropping-particle":"","parse-names":false,"suffix":""</w:instrText>
      </w:r>
      <w:r>
        <w:rPr>
          <w:sz w:val="20"/>
          <w:szCs w:val="24"/>
        </w:rPr>
        <w:instrText>}],"container-title":"Journal of Physics Research and Applications (JPFA)","id":"ITEM-1","issued":{"date-parts":[["2013"]]},"page":"2087-9946","title":"Preliminary Study on b Value of Earthquake in Sumatra in 1964-2013","type":"article-journal","volume":"3</w:instrText>
      </w:r>
      <w:r>
        <w:rPr>
          <w:sz w:val="20"/>
          <w:szCs w:val="24"/>
        </w:rPr>
        <w:instrText>"},"uris":["http://www.mendeley.com/documents/?uuid=28bf8b77-445c-4324-b0b5-648b554e975a"]}],"mendeley":{"formattedCitation":"[1]","plainTextFormattedCitation":"[1]","previouslyFormattedCitation":"[1]"},"properties":{"noteIndex":0},"schema":"https://github</w:instrText>
      </w:r>
      <w:r>
        <w:rPr>
          <w:sz w:val="20"/>
          <w:szCs w:val="24"/>
        </w:rPr>
        <w:instrText>.com/citation-style-language/schema/raw/master/csl-citation.json"}</w:instrText>
      </w:r>
      <w:r>
        <w:rPr>
          <w:sz w:val="20"/>
          <w:szCs w:val="24"/>
        </w:rPr>
        <w:fldChar w:fldCharType="separate"/>
      </w:r>
      <w:r>
        <w:rPr>
          <w:sz w:val="20"/>
          <w:szCs w:val="24"/>
        </w:rPr>
        <w:t>[1]</w:t>
      </w:r>
      <w:r>
        <w:rPr>
          <w:sz w:val="20"/>
          <w:szCs w:val="24"/>
        </w:rPr>
        <w:fldChar w:fldCharType="end"/>
      </w:r>
      <w:r>
        <w:rPr>
          <w:rFonts w:eastAsia="SimSun" w:cs="Times New Roman"/>
          <w:sz w:val="20"/>
          <w:szCs w:val="20"/>
          <w:lang w:val="id-ID"/>
        </w:rPr>
        <w:t xml:space="preserve">. </w:t>
      </w:r>
      <w:r>
        <w:rPr>
          <w:sz w:val="20"/>
          <w:szCs w:val="24"/>
        </w:rPr>
        <w:t>Earthquakes occur due to the movement of rock layers on the earth's surface due to the release of energy in the earth's crust. This release of energy causes deformation of the tecton</w:t>
      </w:r>
      <w:r>
        <w:rPr>
          <w:sz w:val="20"/>
          <w:szCs w:val="24"/>
        </w:rPr>
        <w:t>ic plates in the earth's crust</w:t>
      </w:r>
      <w:r>
        <w:rPr>
          <w:rFonts w:eastAsia="SimSun" w:cs="Times New Roman"/>
          <w:sz w:val="20"/>
          <w:szCs w:val="20"/>
          <w:lang w:val="id-ID"/>
        </w:rPr>
        <w:t xml:space="preserve"> </w:t>
      </w:r>
      <w:r>
        <w:rPr>
          <w:rFonts w:eastAsia="SimSun" w:cs="Times New Roman"/>
          <w:sz w:val="20"/>
          <w:szCs w:val="20"/>
          <w:lang w:val="id-ID"/>
        </w:rPr>
        <w:fldChar w:fldCharType="begin"/>
      </w:r>
      <w:r>
        <w:rPr>
          <w:rFonts w:eastAsia="SimSun" w:cs="Times New Roman"/>
          <w:sz w:val="20"/>
          <w:szCs w:val="20"/>
          <w:lang w:val="id-ID"/>
        </w:rPr>
        <w:instrText>ADDIN CSL_CITATION {"citationItems":[{"id":"ITEM-1","itemData":{"author":[{"dropping-particle":"","family":"Syafriani, Zalmi. N, Grace. T","given":"and Hamdi. A.","non-dropping-particle":"","parse-names":false,"suffix":""}],"</w:instrText>
      </w:r>
      <w:r>
        <w:rPr>
          <w:rFonts w:eastAsia="SimSun" w:cs="Times New Roman"/>
          <w:sz w:val="20"/>
          <w:szCs w:val="20"/>
          <w:lang w:val="id-ID"/>
        </w:rPr>
        <w:instrText>container-title":"Pillar of Physics","id":"ITEM-1","issued":{"date-parts":[["2018"]]},"page":"2","title":"Deterministic Earthquake Hazard Mapping with Peak Ground Acceleration (PGA) approach in Padang City.","type":"article-journal","volume":"11"},"uris":[</w:instrText>
      </w:r>
      <w:r>
        <w:rPr>
          <w:rFonts w:eastAsia="SimSun" w:cs="Times New Roman"/>
          <w:sz w:val="20"/>
          <w:szCs w:val="20"/>
          <w:lang w:val="id-ID"/>
        </w:rPr>
        <w:instrText>"http://www.mendeley.com/documents/?uuid=59dc7778-579f-47af-b057-664e706929b7"]}],"mendeley":{"formattedCitation":"[2]","plainTextFormattedCitation":"[2]","previouslyFormattedCitation":"[2]"},"properties":{"noteIndex":0},"schema":"https://github.com/citati</w:instrText>
      </w:r>
      <w:r>
        <w:rPr>
          <w:rFonts w:eastAsia="SimSun" w:cs="Times New Roman"/>
          <w:sz w:val="20"/>
          <w:szCs w:val="20"/>
          <w:lang w:val="id-ID"/>
        </w:rPr>
        <w:instrText>on-style-language/schema/raw/master/csl-citation.json"}</w:instrText>
      </w:r>
      <w:r>
        <w:rPr>
          <w:rFonts w:eastAsia="SimSun" w:cs="Times New Roman"/>
          <w:sz w:val="20"/>
          <w:szCs w:val="20"/>
          <w:lang w:val="id-ID"/>
        </w:rPr>
        <w:fldChar w:fldCharType="separate"/>
      </w:r>
      <w:r>
        <w:rPr>
          <w:rFonts w:eastAsia="SimSun" w:cs="Times New Roman"/>
          <w:sz w:val="20"/>
          <w:szCs w:val="20"/>
          <w:lang w:val="id-ID"/>
        </w:rPr>
        <w:t>[2]</w:t>
      </w:r>
      <w:r>
        <w:rPr>
          <w:rFonts w:eastAsia="SimSun" w:cs="Times New Roman"/>
          <w:sz w:val="20"/>
          <w:szCs w:val="20"/>
          <w:lang w:val="id-ID"/>
        </w:rPr>
        <w:fldChar w:fldCharType="end"/>
      </w:r>
      <w:r>
        <w:rPr>
          <w:rFonts w:eastAsia="SimSun" w:cs="Times New Roman"/>
          <w:color w:val="000000"/>
          <w:sz w:val="20"/>
          <w:szCs w:val="20"/>
          <w:lang w:val="id-ID" w:eastAsia="id-ID"/>
        </w:rPr>
        <w:t>.</w:t>
      </w:r>
    </w:p>
    <w:p w14:paraId="241F6114" w14:textId="77777777" w:rsidR="00CA20B8" w:rsidRDefault="003225D9">
      <w:pPr>
        <w:pStyle w:val="ListParagraph"/>
        <w:snapToGrid w:val="0"/>
        <w:spacing w:after="0" w:line="260" w:lineRule="auto"/>
        <w:ind w:left="0" w:firstLine="431"/>
        <w:jc w:val="both"/>
        <w:rPr>
          <w:rFonts w:eastAsia="SimSun" w:cs="Times New Roman"/>
          <w:color w:val="000000"/>
          <w:sz w:val="20"/>
          <w:szCs w:val="20"/>
          <w:lang w:val="id-ID" w:eastAsia="id-ID"/>
        </w:rPr>
      </w:pPr>
      <w:r>
        <w:rPr>
          <w:sz w:val="20"/>
          <w:szCs w:val="24"/>
        </w:rPr>
        <w:t>The theory that explains the mechanism of earthquakes is known as the "Elastic Rebound Theory". It is explained in this theory that earthquakes occur in deformation areas where there are two fo</w:t>
      </w:r>
      <w:r>
        <w:rPr>
          <w:sz w:val="20"/>
          <w:szCs w:val="24"/>
        </w:rPr>
        <w:t>rces acting in opposite directions on the earth's crust rock. The energy stored during the deformation process is in the form of elastic strain and will accumulate until it exceeds the maximum bearing capacity of the rock, eventually causing fractures or f</w:t>
      </w:r>
      <w:r>
        <w:rPr>
          <w:sz w:val="20"/>
          <w:szCs w:val="24"/>
        </w:rPr>
        <w:t>ractures. When a fracture occurs, the stored energy will mostly be released in the form of waves in all directions, both in the form of transverse and longitudinal waves. This event is called an earthquake</w:t>
      </w:r>
      <w:r>
        <w:rPr>
          <w:rFonts w:eastAsia="SimSun" w:cs="Times New Roman"/>
          <w:color w:val="000000"/>
          <w:sz w:val="20"/>
          <w:szCs w:val="20"/>
          <w:lang w:val="id-ID" w:eastAsia="id-ID"/>
        </w:rPr>
        <w:t xml:space="preserve"> </w:t>
      </w:r>
      <w:r>
        <w:rPr>
          <w:rFonts w:eastAsia="SimSun" w:cs="Times New Roman"/>
          <w:color w:val="000000"/>
          <w:sz w:val="20"/>
          <w:szCs w:val="20"/>
          <w:lang w:val="id-ID" w:eastAsia="id-ID"/>
        </w:rPr>
        <w:fldChar w:fldCharType="begin"/>
      </w:r>
      <w:r>
        <w:rPr>
          <w:rFonts w:eastAsia="SimSun" w:cs="Times New Roman"/>
          <w:color w:val="000000"/>
          <w:sz w:val="20"/>
          <w:szCs w:val="20"/>
          <w:lang w:val="id-ID" w:eastAsia="id-ID"/>
        </w:rPr>
        <w:instrText>ADDIN CSL_CITATION {"citationItems":[{"id":"ITEM-1</w:instrText>
      </w:r>
      <w:r>
        <w:rPr>
          <w:rFonts w:eastAsia="SimSun" w:cs="Times New Roman"/>
          <w:color w:val="000000"/>
          <w:sz w:val="20"/>
          <w:szCs w:val="20"/>
          <w:lang w:val="id-ID" w:eastAsia="id-ID"/>
        </w:rPr>
        <w:instrText>","itemData":{"author":[{"dropping-particle":"","family":"Edwiza","given":"Daz","non-dropping-particle":"","parse-names":false,"suffix":""}],"id":"ITEM-1","issued":{"date-parts":[["2008"]]},"title":"Analysis of the Maximum Soil Intensity and Acceleration o</w:instrText>
      </w:r>
      <w:r>
        <w:rPr>
          <w:rFonts w:eastAsia="SimSun" w:cs="Times New Roman"/>
          <w:color w:val="000000"/>
          <w:sz w:val="20"/>
          <w:szCs w:val="20"/>
          <w:lang w:val="id-ID" w:eastAsia="id-ID"/>
        </w:rPr>
        <w:instrText>f the West Sumatra Earthquake.","type":"book"},"uris":["http://www.mendeley.com/documents/?uuid=1aface48-9ef2-40d5-b6f6-e7b4fab3869d"]}],"mendeley":{"formattedCitation":"[3]","plainTextFormattedCitation":"[3]","previouslyFormattedCitation":"[3]"},"properti</w:instrText>
      </w:r>
      <w:r>
        <w:rPr>
          <w:rFonts w:eastAsia="SimSun" w:cs="Times New Roman"/>
          <w:color w:val="000000"/>
          <w:sz w:val="20"/>
          <w:szCs w:val="20"/>
          <w:lang w:val="id-ID" w:eastAsia="id-ID"/>
        </w:rPr>
        <w:instrText>es":{"noteIndex":0},"schema":"https://github.com/citation-style-language/schema/raw/master/csl-citation.json"}</w:instrText>
      </w:r>
      <w:r>
        <w:rPr>
          <w:rFonts w:eastAsia="SimSun" w:cs="Times New Roman"/>
          <w:color w:val="000000"/>
          <w:sz w:val="20"/>
          <w:szCs w:val="20"/>
          <w:lang w:val="id-ID" w:eastAsia="id-ID"/>
        </w:rPr>
        <w:fldChar w:fldCharType="separate"/>
      </w:r>
      <w:r>
        <w:rPr>
          <w:rFonts w:eastAsia="SimSun" w:cs="Times New Roman"/>
          <w:color w:val="000000"/>
          <w:sz w:val="20"/>
          <w:szCs w:val="20"/>
          <w:lang w:val="id-ID" w:eastAsia="id-ID"/>
        </w:rPr>
        <w:t>[3]</w:t>
      </w:r>
      <w:r>
        <w:rPr>
          <w:rFonts w:eastAsia="SimSun" w:cs="Times New Roman"/>
          <w:color w:val="000000"/>
          <w:sz w:val="20"/>
          <w:szCs w:val="20"/>
          <w:lang w:val="id-ID" w:eastAsia="id-ID"/>
        </w:rPr>
        <w:fldChar w:fldCharType="end"/>
      </w:r>
      <w:r>
        <w:rPr>
          <w:color w:val="000000"/>
          <w:sz w:val="20"/>
          <w:szCs w:val="20"/>
          <w:lang w:val="id-ID"/>
        </w:rPr>
        <w:t>.</w:t>
      </w:r>
    </w:p>
    <w:p w14:paraId="62DBF18A" w14:textId="77777777" w:rsidR="00CA20B8" w:rsidRDefault="00CA20B8">
      <w:pPr>
        <w:pStyle w:val="ListParagraph"/>
        <w:snapToGrid w:val="0"/>
        <w:spacing w:after="0" w:line="260" w:lineRule="auto"/>
        <w:ind w:left="0" w:firstLine="431"/>
        <w:jc w:val="both"/>
        <w:rPr>
          <w:rFonts w:eastAsia="Times New Roman" w:cs="Times New Roman"/>
          <w:sz w:val="20"/>
          <w:szCs w:val="20"/>
        </w:rPr>
      </w:pPr>
    </w:p>
    <w:p w14:paraId="2ACE1A98" w14:textId="77777777" w:rsidR="00CA20B8" w:rsidRDefault="003225D9">
      <w:pPr>
        <w:pStyle w:val="ListParagraph"/>
        <w:snapToGrid w:val="0"/>
        <w:spacing w:after="0" w:line="260" w:lineRule="auto"/>
        <w:ind w:left="0" w:firstLine="431"/>
        <w:jc w:val="both"/>
        <w:rPr>
          <w:rFonts w:eastAsia="SimSun" w:cs="Times New Roman"/>
          <w:color w:val="000000"/>
          <w:sz w:val="20"/>
          <w:szCs w:val="20"/>
          <w:lang w:val="id-ID" w:eastAsia="id-ID"/>
        </w:rPr>
      </w:pPr>
      <w:r>
        <w:rPr>
          <w:sz w:val="20"/>
          <w:szCs w:val="24"/>
        </w:rPr>
        <w:t>The Mentawai Islands are one of the areas that are active in earthquakes (seismicity), which is evident from the recording of earthquakes</w:t>
      </w:r>
      <w:r>
        <w:rPr>
          <w:sz w:val="20"/>
          <w:szCs w:val="24"/>
        </w:rPr>
        <w:t xml:space="preserve"> that occurred both small and large during the 2010-2016 period. The Mentawai Islands are included in the tectonic area of ​​Sumatra where there is a subduction of the Indo-Australian tectonic plate to the island of Sumatra.</w:t>
      </w:r>
      <w:r>
        <w:rPr>
          <w:sz w:val="20"/>
          <w:szCs w:val="24"/>
        </w:rPr>
        <w:fldChar w:fldCharType="begin"/>
      </w:r>
      <w:r>
        <w:rPr>
          <w:sz w:val="20"/>
          <w:szCs w:val="24"/>
        </w:rPr>
        <w:instrText>ADDIN CSL_CITATION {"citationIte</w:instrText>
      </w:r>
      <w:r>
        <w:rPr>
          <w:sz w:val="20"/>
          <w:szCs w:val="24"/>
        </w:rPr>
        <w:instrText>ms":[{"id":"ITEM-1","itemData":{"author":[{"dropping-particle":"","family":"Rohadi, S., Grandis, H. &amp; Ratag","given":"MA","non-dropping-particle":"","parse-names":false,"suffix":""}],"container-title":"Journal of Meteorology and Geophysics,","id":"ITEM-1",</w:instrText>
      </w:r>
      <w:r>
        <w:rPr>
          <w:sz w:val="20"/>
          <w:szCs w:val="24"/>
        </w:rPr>
        <w:instrText>"issued":{"date-parts":[["2008"]]},"page":"101-108","title":"Study of Seismotectonic Potential as Precursor to Seismic Levels in Sumatra Region.","type":"article-journal","volume":"9"},"uris":["http://www.mendeley.com/documents/?uuid=b7cc5527-7a72-49a4-b9c</w:instrText>
      </w:r>
      <w:r>
        <w:rPr>
          <w:sz w:val="20"/>
          <w:szCs w:val="24"/>
        </w:rPr>
        <w:instrText>5-11c19d0aa06a"]}],"mendeley":{"formattedCitation":"[4]","plainTextFormattedCitation":"[4]","previouslyFormattedCitation":"[4]"},"properties":{"noteIndex":0},"schema":"https://github.com/citation-style-language/schema/raw/master/csl-citation.json"}</w:instrText>
      </w:r>
      <w:r>
        <w:rPr>
          <w:sz w:val="20"/>
          <w:szCs w:val="24"/>
        </w:rPr>
        <w:fldChar w:fldCharType="separate"/>
      </w:r>
      <w:r>
        <w:rPr>
          <w:sz w:val="20"/>
          <w:szCs w:val="24"/>
        </w:rPr>
        <w:t>[4]</w:t>
      </w:r>
      <w:r>
        <w:rPr>
          <w:sz w:val="20"/>
          <w:szCs w:val="24"/>
        </w:rPr>
        <w:fldChar w:fldCharType="end"/>
      </w:r>
      <w:r>
        <w:rPr>
          <w:rFonts w:eastAsia="SimSun" w:cs="Times New Roman"/>
          <w:color w:val="000000"/>
          <w:sz w:val="20"/>
          <w:szCs w:val="20"/>
          <w:lang w:val="id-ID" w:eastAsia="id-ID"/>
        </w:rPr>
        <w:t xml:space="preserve">. </w:t>
      </w:r>
      <w:r>
        <w:rPr>
          <w:sz w:val="20"/>
          <w:szCs w:val="24"/>
        </w:rPr>
        <w:t>The Mentawai Islands have the Mentawai Fault which is at the boundary of the Sumatran subduction zone with the Sumatran Fault</w:t>
      </w:r>
      <w:r>
        <w:rPr>
          <w:rFonts w:eastAsia="SimSun" w:cs="Times New Roman"/>
          <w:color w:val="000000"/>
          <w:sz w:val="20"/>
          <w:szCs w:val="20"/>
          <w:lang w:eastAsia="id-ID"/>
        </w:rPr>
        <w:t xml:space="preserve"> </w:t>
      </w:r>
      <w:r>
        <w:rPr>
          <w:rFonts w:eastAsia="SimSun" w:cs="Times New Roman"/>
          <w:color w:val="000000"/>
          <w:sz w:val="20"/>
          <w:szCs w:val="20"/>
          <w:lang w:eastAsia="id-ID"/>
        </w:rPr>
        <w:fldChar w:fldCharType="begin"/>
      </w:r>
      <w:r>
        <w:rPr>
          <w:rFonts w:eastAsia="SimSun" w:cs="Times New Roman"/>
          <w:color w:val="000000"/>
          <w:sz w:val="20"/>
          <w:szCs w:val="20"/>
          <w:lang w:eastAsia="id-ID"/>
        </w:rPr>
        <w:instrText xml:space="preserve">ADDIN CSL_CITATION {"citationItems":[{"id":"ITEM-1","itemData":{"author":[{"dropping-particle":"","family":"Mukti, MM, Singh, SC, </w:instrText>
      </w:r>
      <w:r>
        <w:rPr>
          <w:rFonts w:eastAsia="SimSun" w:cs="Times New Roman"/>
          <w:color w:val="000000"/>
          <w:sz w:val="20"/>
          <w:szCs w:val="20"/>
          <w:lang w:eastAsia="id-ID"/>
        </w:rPr>
        <w:instrText>Deighton, I., Hananto, ND, Moeremans, R. &amp; Permana","given":"H.","non-dropping-particle":"","parse-names":false,"suffix":""}],"container-title":"Geochemistry Geophysics Geosystems,","id":"ITEM-1","issued":{"date-parts":[["2012"]]},"page":", 1-21.","title":</w:instrText>
      </w:r>
      <w:r>
        <w:rPr>
          <w:rFonts w:eastAsia="SimSun" w:cs="Times New Roman"/>
          <w:color w:val="000000"/>
          <w:sz w:val="20"/>
          <w:szCs w:val="20"/>
          <w:lang w:eastAsia="id-ID"/>
        </w:rPr>
        <w:instrText>"Structural Evolution of Backthrusting in the Mentawai Fault Zone, offshore Sumatran Forearc.","type":"article-journal","volume":"13"},"uris":["http://www.mendeley.com/documents/?uuid=ab31e0d6-8ba6-49e4-9d0b-079158285714"]}],"mendeley":{"formattedCitation"</w:instrText>
      </w:r>
      <w:r>
        <w:rPr>
          <w:rFonts w:eastAsia="SimSun" w:cs="Times New Roman"/>
          <w:color w:val="000000"/>
          <w:sz w:val="20"/>
          <w:szCs w:val="20"/>
          <w:lang w:eastAsia="id-ID"/>
        </w:rPr>
        <w:instrText>:"[5]","plainTextFormattedCitation":"[5]","previouslyFormattedCitation":"[5]"},"properties":{"noteIndex":0},"schema":"https://github.com/citation-style-language/schema/raw/master/csl-citation.json"}</w:instrText>
      </w:r>
      <w:r>
        <w:rPr>
          <w:rFonts w:eastAsia="SimSun" w:cs="Times New Roman"/>
          <w:color w:val="000000"/>
          <w:sz w:val="20"/>
          <w:szCs w:val="20"/>
          <w:lang w:eastAsia="id-ID"/>
        </w:rPr>
        <w:fldChar w:fldCharType="separate"/>
      </w:r>
      <w:r>
        <w:rPr>
          <w:rFonts w:eastAsia="SimSun" w:cs="Times New Roman"/>
          <w:color w:val="000000"/>
          <w:sz w:val="20"/>
          <w:szCs w:val="20"/>
          <w:lang w:eastAsia="id-ID"/>
        </w:rPr>
        <w:t>[5]</w:t>
      </w:r>
      <w:r>
        <w:rPr>
          <w:rFonts w:eastAsia="SimSun" w:cs="Times New Roman"/>
          <w:color w:val="000000"/>
          <w:sz w:val="20"/>
          <w:szCs w:val="20"/>
          <w:lang w:eastAsia="id-ID"/>
        </w:rPr>
        <w:fldChar w:fldCharType="end"/>
      </w:r>
      <w:r>
        <w:rPr>
          <w:rFonts w:eastAsia="SimSun" w:cs="Times New Roman"/>
          <w:color w:val="000000"/>
          <w:sz w:val="20"/>
          <w:szCs w:val="20"/>
          <w:lang w:val="id-ID" w:eastAsia="id-ID"/>
        </w:rPr>
        <w:t xml:space="preserve">. </w:t>
      </w:r>
      <w:r>
        <w:rPr>
          <w:rFonts w:eastAsia="Times New Roman" w:cs="Times New Roman"/>
          <w:sz w:val="20"/>
          <w:szCs w:val="20"/>
        </w:rPr>
        <w:t>An earthquake measuring 7.2 on the Richter scale o</w:t>
      </w:r>
      <w:r>
        <w:rPr>
          <w:rFonts w:eastAsia="Times New Roman" w:cs="Times New Roman"/>
          <w:sz w:val="20"/>
          <w:szCs w:val="20"/>
        </w:rPr>
        <w:t xml:space="preserve">n </w:t>
      </w:r>
      <w:r>
        <w:rPr>
          <w:rFonts w:eastAsia="Times New Roman" w:cs="Times New Roman"/>
          <w:sz w:val="20"/>
          <w:szCs w:val="20"/>
        </w:rPr>
        <w:lastRenderedPageBreak/>
        <w:t>October 25, 2010 in the Mentawai Islands resulted in a tsunami that only took 5-10 minutes to reach the coast. Short time to evacuate in ten minutes before tsunami reaches shore. Many casualties reached more than 500 people and large material losses, sho</w:t>
      </w:r>
      <w:r>
        <w:rPr>
          <w:rFonts w:eastAsia="Times New Roman" w:cs="Times New Roman"/>
          <w:sz w:val="20"/>
          <w:szCs w:val="20"/>
        </w:rPr>
        <w:t xml:space="preserve">uld be a lesson for space managers to be able to organize space by considering disaster aspects </w:t>
      </w:r>
      <w:r>
        <w:rPr>
          <w:rFonts w:eastAsia="Times New Roman" w:cs="Times New Roman"/>
          <w:sz w:val="20"/>
          <w:szCs w:val="20"/>
        </w:rPr>
        <w:fldChar w:fldCharType="begin"/>
      </w:r>
      <w:r>
        <w:rPr>
          <w:rFonts w:eastAsia="Times New Roman" w:cs="Times New Roman"/>
          <w:sz w:val="20"/>
          <w:szCs w:val="20"/>
        </w:rPr>
        <w:instrText>ADDIN CSL_CITATION {"citationItems":[{"id":"ITEM-1","itemData":{"author":[{"dropping-particle":"","family":"Son","given":"A. P","non-dropping-particle":"","pars</w:instrText>
      </w:r>
      <w:r>
        <w:rPr>
          <w:rFonts w:eastAsia="Times New Roman" w:cs="Times New Roman"/>
          <w:sz w:val="20"/>
          <w:szCs w:val="20"/>
        </w:rPr>
        <w:instrText>e-names":false,"suffix":""}],"container-title":", Journal of Disaster Management Dialogue Volume 2 Number 1, Year 2011, pp.","id":"ITEM-1","issued":{"date-parts":[["2011"]]},"page":"11-20","title":"District Disaster Mitigation-Based Spatial Planning Mentaw</w:instrText>
      </w:r>
      <w:r>
        <w:rPr>
          <w:rFonts w:eastAsia="Times New Roman" w:cs="Times New Roman"/>
          <w:sz w:val="20"/>
          <w:szCs w:val="20"/>
        </w:rPr>
        <w:instrText>ai Islands","type":"article-journal"},"uris":["http://www.mendeley.com/documents/?uuid=2f389639-b3e1-402f-91d5-8a91e3bc2e75"]}],"mendeley":{"formattedCitation":"[6]","plainTextFormattedCitation":"[6]","previouslyFormattedCitation":"[6]"},"properties":{"not</w:instrText>
      </w:r>
      <w:r>
        <w:rPr>
          <w:rFonts w:eastAsia="Times New Roman" w:cs="Times New Roman"/>
          <w:sz w:val="20"/>
          <w:szCs w:val="20"/>
        </w:rPr>
        <w:instrText>eIndex":0},"schema":"https://github.com/citation-style-language/schema/raw/master/csl-citation.json"}</w:instrText>
      </w:r>
      <w:r>
        <w:rPr>
          <w:rFonts w:eastAsia="Times New Roman" w:cs="Times New Roman"/>
          <w:sz w:val="20"/>
          <w:szCs w:val="20"/>
        </w:rPr>
        <w:fldChar w:fldCharType="separate"/>
      </w:r>
      <w:r>
        <w:rPr>
          <w:rFonts w:eastAsia="Times New Roman" w:cs="Times New Roman"/>
          <w:sz w:val="20"/>
          <w:szCs w:val="20"/>
        </w:rPr>
        <w:t>[6]</w:t>
      </w:r>
      <w:r>
        <w:rPr>
          <w:rFonts w:eastAsia="Times New Roman" w:cs="Times New Roman"/>
          <w:sz w:val="20"/>
          <w:szCs w:val="20"/>
        </w:rPr>
        <w:fldChar w:fldCharType="end"/>
      </w:r>
      <w:r>
        <w:rPr>
          <w:rFonts w:eastAsia="Times New Roman" w:cs="Times New Roman"/>
          <w:sz w:val="20"/>
          <w:szCs w:val="20"/>
        </w:rPr>
        <w:t>.</w:t>
      </w:r>
    </w:p>
    <w:p w14:paraId="3FDEFC6E" w14:textId="77777777" w:rsidR="00CA20B8" w:rsidRDefault="003225D9">
      <w:pPr>
        <w:pStyle w:val="ListParagraph"/>
        <w:snapToGrid w:val="0"/>
        <w:spacing w:after="0" w:line="260" w:lineRule="auto"/>
        <w:ind w:left="0" w:firstLine="431"/>
        <w:jc w:val="both"/>
        <w:rPr>
          <w:rFonts w:eastAsia="Times New Roman" w:cs="Times New Roman"/>
          <w:sz w:val="20"/>
          <w:szCs w:val="20"/>
        </w:rPr>
      </w:pPr>
      <w:r>
        <w:rPr>
          <w:rFonts w:eastAsia="Times New Roman" w:cs="Times New Roman"/>
          <w:sz w:val="20"/>
          <w:szCs w:val="20"/>
        </w:rPr>
        <w:t>The sudden movement of rock layers in the earth produces energy that is emitted in all directions in the form of earthquake waves or seismic waves. When these waves reach the earth's surface, the vibrations can damage everything on the earth's surface such</w:t>
      </w:r>
      <w:r>
        <w:rPr>
          <w:rFonts w:eastAsia="Times New Roman" w:cs="Times New Roman"/>
          <w:sz w:val="20"/>
          <w:szCs w:val="20"/>
        </w:rPr>
        <w:t xml:space="preserve"> as buildings and other infrastructure so that it can cause loss of life and property. </w:t>
      </w:r>
      <w:r>
        <w:rPr>
          <w:rFonts w:eastAsia="Times New Roman" w:cs="Times New Roman"/>
          <w:sz w:val="20"/>
          <w:szCs w:val="20"/>
        </w:rPr>
        <w:fldChar w:fldCharType="begin"/>
      </w:r>
      <w:r>
        <w:rPr>
          <w:rFonts w:eastAsia="Times New Roman" w:cs="Times New Roman"/>
          <w:sz w:val="20"/>
          <w:szCs w:val="20"/>
        </w:rPr>
        <w:instrText>ADDIN CSL_CITATION {"citationItems":[{"id":"ITEM-1","itemData":{"author":[{"dropping-particle":"","family":"Sunarjo","given":"M. Taufik Gunawan and Sugeng Pribadi","non-</w:instrText>
      </w:r>
      <w:r>
        <w:rPr>
          <w:rFonts w:eastAsia="Times New Roman" w:cs="Times New Roman"/>
          <w:sz w:val="20"/>
          <w:szCs w:val="20"/>
        </w:rPr>
        <w:instrText>dropping-particle":"","parse-names":false,"suffix":""}],"id":"ITEM-1","issued":{"date-parts":[["2012"]]},"title":"Earthquakes Popular Edition","type":"book"},"uris":["http://www.mendeley.com/documents/?uuid=e07f54dd-8ac4-4113-b4e0-5e370e86b127"]}],"mendele</w:instrText>
      </w:r>
      <w:r>
        <w:rPr>
          <w:rFonts w:eastAsia="Times New Roman" w:cs="Times New Roman"/>
          <w:sz w:val="20"/>
          <w:szCs w:val="20"/>
        </w:rPr>
        <w:instrText>y":{"formattedCitation":"[7]","plainTextFormattedCitation":"[7]","previouslyFormattedCitation":"[7]"},"properties":{"noteIndex":0},"schema":"https://github.com/citation-style-language/schema/raw/master/csl-citation.json"}</w:instrText>
      </w:r>
      <w:r>
        <w:rPr>
          <w:rFonts w:eastAsia="Times New Roman" w:cs="Times New Roman"/>
          <w:sz w:val="20"/>
          <w:szCs w:val="20"/>
        </w:rPr>
        <w:fldChar w:fldCharType="separate"/>
      </w:r>
      <w:r>
        <w:rPr>
          <w:rFonts w:eastAsia="Times New Roman" w:cs="Times New Roman"/>
          <w:sz w:val="20"/>
          <w:szCs w:val="20"/>
        </w:rPr>
        <w:t>[7]</w:t>
      </w:r>
      <w:r>
        <w:rPr>
          <w:rFonts w:eastAsia="Times New Roman" w:cs="Times New Roman"/>
          <w:sz w:val="20"/>
          <w:szCs w:val="20"/>
        </w:rPr>
        <w:fldChar w:fldCharType="end"/>
      </w:r>
      <w:r>
        <w:rPr>
          <w:rFonts w:eastAsia="Times New Roman" w:cs="Times New Roman"/>
          <w:sz w:val="20"/>
          <w:szCs w:val="20"/>
        </w:rPr>
        <w:t>.An understanding of the risk</w:t>
      </w:r>
      <w:r>
        <w:rPr>
          <w:rFonts w:eastAsia="Times New Roman" w:cs="Times New Roman"/>
          <w:sz w:val="20"/>
          <w:szCs w:val="20"/>
        </w:rPr>
        <w:t>s of living in areas with high disaster vulnerability must be addressed wisely and cleverly in dealing with ways of living side by side with these disaster-prone natural conditions.. Mitigation according to Law no. 24 of 2007 concerning disaster management</w:t>
      </w:r>
      <w:r>
        <w:rPr>
          <w:rFonts w:eastAsia="Times New Roman" w:cs="Times New Roman"/>
          <w:sz w:val="20"/>
          <w:szCs w:val="20"/>
        </w:rPr>
        <w:t>, is a series of efforts to reduce disaster risk, both through physical development as well as awareness and capacity building in dealing with disasters.</w:t>
      </w:r>
    </w:p>
    <w:p w14:paraId="6886DF2D" w14:textId="77777777" w:rsidR="00CA20B8" w:rsidRDefault="003225D9">
      <w:pPr>
        <w:pStyle w:val="ListParagraph"/>
        <w:snapToGrid w:val="0"/>
        <w:spacing w:after="0" w:line="260" w:lineRule="auto"/>
        <w:ind w:left="0" w:firstLine="431"/>
        <w:jc w:val="both"/>
        <w:rPr>
          <w:rFonts w:eastAsia="SimSun" w:cs="Times New Roman"/>
          <w:color w:val="000000"/>
          <w:sz w:val="20"/>
          <w:szCs w:val="20"/>
          <w:lang w:eastAsia="id-ID"/>
        </w:rPr>
      </w:pPr>
      <w:r>
        <w:rPr>
          <w:rFonts w:eastAsia="SimSun"/>
          <w:color w:val="000000"/>
          <w:sz w:val="20"/>
          <w:szCs w:val="24"/>
        </w:rPr>
        <w:t xml:space="preserve">Every damage caused by an earthquake in a certain area is determined by earthquake parameters, one of </w:t>
      </w:r>
      <w:r>
        <w:rPr>
          <w:rFonts w:eastAsia="SimSun"/>
          <w:color w:val="000000"/>
          <w:sz w:val="20"/>
          <w:szCs w:val="24"/>
        </w:rPr>
        <w:t xml:space="preserve">which is by using the maximum ground acceleration (PGA) value. </w:t>
      </w:r>
      <w:r>
        <w:rPr>
          <w:rFonts w:eastAsia="Times New Roman" w:cs="Times New Roman"/>
          <w:sz w:val="20"/>
          <w:szCs w:val="20"/>
        </w:rPr>
        <w:t xml:space="preserve">The maximum ground acceleration (PGA) value is one of the important parameters used in the study of the level of danger and risk of earthquakes that can cause damage. The acceleration value is </w:t>
      </w:r>
      <w:r>
        <w:rPr>
          <w:rFonts w:eastAsia="Times New Roman" w:cs="Times New Roman"/>
          <w:sz w:val="20"/>
          <w:szCs w:val="20"/>
        </w:rPr>
        <w:t>an important parameter because it is the starting point in making earthquake-resistant building structures and other mitigation measures. So that the maximum ground acceleration data due to earthquake vibrations at a location is important to describe the l</w:t>
      </w:r>
      <w:r>
        <w:rPr>
          <w:rFonts w:eastAsia="Times New Roman" w:cs="Times New Roman"/>
          <w:sz w:val="20"/>
          <w:szCs w:val="20"/>
        </w:rPr>
        <w:t xml:space="preserve">evel of earthquake risk at a certain location </w:t>
      </w:r>
      <w:r>
        <w:rPr>
          <w:rFonts w:eastAsia="Times New Roman" w:cs="Times New Roman"/>
          <w:sz w:val="20"/>
          <w:szCs w:val="20"/>
        </w:rPr>
        <w:fldChar w:fldCharType="begin"/>
      </w:r>
      <w:r>
        <w:rPr>
          <w:rFonts w:eastAsia="Times New Roman" w:cs="Times New Roman"/>
          <w:sz w:val="20"/>
          <w:szCs w:val="20"/>
        </w:rPr>
        <w:instrText>ADDIN CSL_CITATION {"citationItems":[{"id":"ITEM-1","itemData":{"author":[{"dropping-particle":"","family":"Order","given":"Radiori","non-dropping-particle":"","parse-names":false,"suffix":""}],"container-title</w:instrText>
      </w:r>
      <w:r>
        <w:rPr>
          <w:rFonts w:eastAsia="Times New Roman" w:cs="Times New Roman"/>
          <w:sz w:val="20"/>
          <w:szCs w:val="20"/>
        </w:rPr>
        <w:instrText>":"Indonesian Journal of Physics Innovation","id":"ITEM-1","issued":{"date-parts":[["2013"]]},"title":"Peak Ground Acceleration (Pga) Analysis Due to Earthquake East Java 08 July 2013 In the Indian Ocean 9,000LS – 113,010BT","type":"article-journal","volum</w:instrText>
      </w:r>
      <w:r>
        <w:rPr>
          <w:rFonts w:eastAsia="Times New Roman" w:cs="Times New Roman"/>
          <w:sz w:val="20"/>
          <w:szCs w:val="20"/>
        </w:rPr>
        <w:instrText>e":"2"},"uris":["http://www.mendeley.com/documents/?uuid=11eba469-f457-4775-b27d-36f7e55a4225"]}],"mendeley":{"formattedCitation":"[8]","plainTextFormattedCitation":"[8]","previouslyFormattedCitation":"[8]"},"properties":{"noteIndex":0},"schema":"https://g</w:instrText>
      </w:r>
      <w:r>
        <w:rPr>
          <w:rFonts w:eastAsia="Times New Roman" w:cs="Times New Roman"/>
          <w:sz w:val="20"/>
          <w:szCs w:val="20"/>
        </w:rPr>
        <w:instrText>ithub.com/citation-style-language/schema/raw/master/csl-citation.json"}</w:instrText>
      </w:r>
      <w:r>
        <w:rPr>
          <w:rFonts w:eastAsia="Times New Roman" w:cs="Times New Roman"/>
          <w:sz w:val="20"/>
          <w:szCs w:val="20"/>
        </w:rPr>
        <w:fldChar w:fldCharType="separate"/>
      </w:r>
      <w:r>
        <w:rPr>
          <w:rFonts w:eastAsia="Times New Roman" w:cs="Times New Roman"/>
          <w:sz w:val="20"/>
          <w:szCs w:val="20"/>
        </w:rPr>
        <w:t>[8]</w:t>
      </w:r>
      <w:r>
        <w:rPr>
          <w:rFonts w:eastAsia="Times New Roman" w:cs="Times New Roman"/>
          <w:sz w:val="20"/>
          <w:szCs w:val="20"/>
        </w:rPr>
        <w:fldChar w:fldCharType="end"/>
      </w:r>
      <w:r>
        <w:rPr>
          <w:rFonts w:eastAsia="Times New Roman" w:cs="Times New Roman"/>
          <w:sz w:val="20"/>
          <w:szCs w:val="20"/>
        </w:rPr>
        <w:t>.</w:t>
      </w:r>
      <w:r>
        <w:rPr>
          <w:sz w:val="20"/>
          <w:szCs w:val="24"/>
        </w:rPr>
        <w:t>The ground acceleration value that will be taken into account in the building design is the maximum ground acceleration value</w:t>
      </w:r>
      <w:r>
        <w:rPr>
          <w:rFonts w:eastAsia="SimSun" w:cs="Times New Roman"/>
          <w:color w:val="000000"/>
          <w:sz w:val="16"/>
          <w:szCs w:val="20"/>
          <w:lang w:val="id-ID" w:eastAsia="id-ID"/>
        </w:rPr>
        <w:t xml:space="preserve"> </w:t>
      </w:r>
      <w:r>
        <w:rPr>
          <w:rFonts w:eastAsia="SimSun" w:cs="Times New Roman"/>
          <w:color w:val="000000"/>
          <w:sz w:val="16"/>
          <w:szCs w:val="20"/>
          <w:lang w:val="id-ID" w:eastAsia="id-ID"/>
        </w:rPr>
        <w:fldChar w:fldCharType="begin"/>
      </w:r>
      <w:r>
        <w:rPr>
          <w:rFonts w:eastAsia="SimSun" w:cs="Times New Roman"/>
          <w:color w:val="000000"/>
          <w:sz w:val="16"/>
          <w:szCs w:val="20"/>
          <w:lang w:val="id-ID" w:eastAsia="id-ID"/>
        </w:rPr>
        <w:instrText>ADDIN CSL_CITATION {"citationItems":[{"id":"ITEM-1",</w:instrText>
      </w:r>
      <w:r>
        <w:rPr>
          <w:rFonts w:eastAsia="SimSun" w:cs="Times New Roman"/>
          <w:color w:val="000000"/>
          <w:sz w:val="16"/>
          <w:szCs w:val="20"/>
          <w:lang w:val="id-ID" w:eastAsia="id-ID"/>
        </w:rPr>
        <w:instrText>"itemData":{"author":[{"dropping-particle":"","family":"Baker","given":"WJ","non-dropping-particle":"","parse-names":false,"suffix":""}],"id":"ITEM-1","issued":{"date-parts":[["2008"]]},"title":"An Introduction to Probabilistic Seismic Hazard Analysis, ver</w:instrText>
      </w:r>
      <w:r>
        <w:rPr>
          <w:rFonts w:eastAsia="SimSun" w:cs="Times New Roman"/>
          <w:color w:val="000000"/>
          <w:sz w:val="16"/>
          <w:szCs w:val="20"/>
          <w:lang w:val="id-ID" w:eastAsia="id-ID"/>
        </w:rPr>
        <w:instrText>sion 1.3","type":"book"},"uris":["http://www.mendeley.com/documents/?uuid=6b5a595d-bbf1-43c2-879c-0868e9c955a7"]}],"mendeley":{"formattedCitation":"[9]","plainTextFormattedCitation":"[9]","previouslyFormattedCitation":"[9]"},"properties":{"noteIndex":0},"s</w:instrText>
      </w:r>
      <w:r>
        <w:rPr>
          <w:rFonts w:eastAsia="SimSun" w:cs="Times New Roman"/>
          <w:color w:val="000000"/>
          <w:sz w:val="16"/>
          <w:szCs w:val="20"/>
          <w:lang w:val="id-ID" w:eastAsia="id-ID"/>
        </w:rPr>
        <w:instrText>chema":"https://github.com/citation-style-language/schema/raw/master/csl-citation.json"}</w:instrText>
      </w:r>
      <w:r>
        <w:rPr>
          <w:rFonts w:eastAsia="SimSun" w:cs="Times New Roman"/>
          <w:color w:val="000000"/>
          <w:sz w:val="16"/>
          <w:szCs w:val="20"/>
          <w:lang w:val="id-ID" w:eastAsia="id-ID"/>
        </w:rPr>
        <w:fldChar w:fldCharType="separate"/>
      </w:r>
      <w:r>
        <w:rPr>
          <w:rFonts w:eastAsia="SimSun" w:cs="Times New Roman"/>
          <w:color w:val="000000"/>
          <w:sz w:val="16"/>
          <w:szCs w:val="20"/>
          <w:lang w:val="id-ID" w:eastAsia="id-ID"/>
        </w:rPr>
        <w:t>[9]</w:t>
      </w:r>
      <w:r>
        <w:rPr>
          <w:rFonts w:eastAsia="SimSun" w:cs="Times New Roman"/>
          <w:color w:val="000000"/>
          <w:sz w:val="16"/>
          <w:szCs w:val="20"/>
          <w:lang w:val="id-ID" w:eastAsia="id-ID"/>
        </w:rPr>
        <w:fldChar w:fldCharType="end"/>
      </w:r>
      <w:r>
        <w:rPr>
          <w:rFonts w:eastAsia="SimSun" w:cs="Times New Roman"/>
          <w:color w:val="000000"/>
          <w:sz w:val="16"/>
          <w:szCs w:val="20"/>
          <w:lang w:eastAsia="id-ID"/>
        </w:rPr>
        <w:t>.</w:t>
      </w:r>
    </w:p>
    <w:p w14:paraId="192CABAC" w14:textId="77777777" w:rsidR="00CA20B8" w:rsidRDefault="003225D9">
      <w:pPr>
        <w:pStyle w:val="ListParagraph"/>
        <w:snapToGrid w:val="0"/>
        <w:spacing w:after="0" w:line="260" w:lineRule="auto"/>
        <w:ind w:left="0" w:firstLine="431"/>
        <w:jc w:val="both"/>
        <w:rPr>
          <w:rFonts w:eastAsia="SimSun" w:cs="Times New Roman"/>
          <w:color w:val="000000"/>
          <w:sz w:val="20"/>
          <w:szCs w:val="20"/>
          <w:lang w:eastAsia="id-ID"/>
        </w:rPr>
      </w:pPr>
      <w:r>
        <w:rPr>
          <w:sz w:val="20"/>
          <w:szCs w:val="24"/>
        </w:rPr>
        <w:t xml:space="preserve">In </w:t>
      </w:r>
      <w:r>
        <w:rPr>
          <w:rFonts w:eastAsia="SimSun"/>
          <w:color w:val="000000"/>
          <w:sz w:val="20"/>
          <w:szCs w:val="24"/>
        </w:rPr>
        <w:t>Study</w:t>
      </w:r>
      <w:r>
        <w:rPr>
          <w:sz w:val="20"/>
          <w:szCs w:val="24"/>
        </w:rPr>
        <w:t xml:space="preserve"> This method uses the PSHA method, namely Probabilistic Seismic Hazard Analysis, the stages in processing PSHA data are as shown in Figure 1</w:t>
      </w:r>
      <w:r>
        <w:rPr>
          <w:rFonts w:eastAsia="SimSun" w:cs="Times New Roman"/>
          <w:color w:val="000000"/>
          <w:sz w:val="20"/>
          <w:szCs w:val="20"/>
          <w:lang w:val="id-ID" w:eastAsia="id-ID"/>
        </w:rPr>
        <w:t xml:space="preserve"> </w:t>
      </w:r>
      <w:r>
        <w:rPr>
          <w:rFonts w:eastAsia="SimSun" w:cs="Times New Roman"/>
          <w:color w:val="000000"/>
          <w:sz w:val="20"/>
          <w:szCs w:val="20"/>
          <w:lang w:val="id-ID" w:eastAsia="id-ID"/>
        </w:rPr>
        <w:fldChar w:fldCharType="begin"/>
      </w:r>
      <w:r>
        <w:rPr>
          <w:rFonts w:eastAsia="SimSun" w:cs="Times New Roman"/>
          <w:color w:val="000000"/>
          <w:sz w:val="20"/>
          <w:szCs w:val="20"/>
          <w:lang w:val="id-ID" w:eastAsia="id-ID"/>
        </w:rPr>
        <w:instrText>ADDIN CSL_C</w:instrText>
      </w:r>
      <w:r>
        <w:rPr>
          <w:rFonts w:eastAsia="SimSun" w:cs="Times New Roman"/>
          <w:color w:val="000000"/>
          <w:sz w:val="20"/>
          <w:szCs w:val="20"/>
          <w:lang w:val="id-ID" w:eastAsia="id-ID"/>
        </w:rPr>
        <w:instrText>ITATION {"citationItems":[{"id":"ITEM-1","itemData":{"author":[{"dropping-particle":"","family":"Baker","given":"WJ","non-dropping-particle":"","parse-names":false,"suffix":""}],"id":"ITEM-1","issued":{"date-parts":[["2008"]]},"title":"An Introduction to P</w:instrText>
      </w:r>
      <w:r>
        <w:rPr>
          <w:rFonts w:eastAsia="SimSun" w:cs="Times New Roman"/>
          <w:color w:val="000000"/>
          <w:sz w:val="20"/>
          <w:szCs w:val="20"/>
          <w:lang w:val="id-ID" w:eastAsia="id-ID"/>
        </w:rPr>
        <w:instrText>robabilistic Seismic Hazard Analysis, version 1.3","type":"book"},"uris":["http://www.mendeley.com/documents/?uuid=6b5a595d-bbf1-43c2-879c-0868e9c955a7"]}],"mendeley":{"formattedCitation":"[9]","plainTextFormattedCitation":"[9]","previouslyFormattedCitatio</w:instrText>
      </w:r>
      <w:r>
        <w:rPr>
          <w:rFonts w:eastAsia="SimSun" w:cs="Times New Roman"/>
          <w:color w:val="000000"/>
          <w:sz w:val="20"/>
          <w:szCs w:val="20"/>
          <w:lang w:val="id-ID" w:eastAsia="id-ID"/>
        </w:rPr>
        <w:instrText>n":"[9]"},"properties":{"noteIndex":0},"schema":"https://github.com/citation-style-language/schema/raw/master/csl-citation.json"}</w:instrText>
      </w:r>
      <w:r>
        <w:rPr>
          <w:rFonts w:eastAsia="SimSun" w:cs="Times New Roman"/>
          <w:color w:val="000000"/>
          <w:sz w:val="20"/>
          <w:szCs w:val="20"/>
          <w:lang w:val="id-ID" w:eastAsia="id-ID"/>
        </w:rPr>
        <w:fldChar w:fldCharType="separate"/>
      </w:r>
      <w:r>
        <w:rPr>
          <w:rFonts w:eastAsia="SimSun" w:cs="Times New Roman"/>
          <w:color w:val="000000"/>
          <w:sz w:val="20"/>
          <w:szCs w:val="20"/>
          <w:lang w:val="id-ID" w:eastAsia="id-ID"/>
        </w:rPr>
        <w:t>[9]</w:t>
      </w:r>
      <w:r>
        <w:rPr>
          <w:rFonts w:eastAsia="SimSun" w:cs="Times New Roman"/>
          <w:color w:val="000000"/>
          <w:sz w:val="20"/>
          <w:szCs w:val="20"/>
          <w:lang w:val="id-ID" w:eastAsia="id-ID"/>
        </w:rPr>
        <w:fldChar w:fldCharType="end"/>
      </w:r>
    </w:p>
    <w:p w14:paraId="61C2B5A8" w14:textId="77777777" w:rsidR="00CA20B8" w:rsidRDefault="003225D9">
      <w:pPr>
        <w:pStyle w:val="ListParagraph"/>
        <w:snapToGrid w:val="0"/>
        <w:spacing w:after="0" w:line="260" w:lineRule="auto"/>
        <w:ind w:left="0" w:firstLine="431"/>
        <w:jc w:val="center"/>
        <w:rPr>
          <w:sz w:val="20"/>
          <w:szCs w:val="24"/>
        </w:rPr>
      </w:pPr>
      <w:r>
        <w:rPr>
          <w:noProof/>
        </w:rPr>
        <w:drawing>
          <wp:inline distT="0" distB="0" distL="0" distR="0" wp14:anchorId="584D869C" wp14:editId="313201EA">
            <wp:extent cx="1979295" cy="2018665"/>
            <wp:effectExtent l="0" t="0" r="1905" b="0"/>
            <wp:docPr id="1027" name="image18.jpg" descr="C:\Users\LENOVO\AppData\Local\Temp\ksohtml8044\wps32.jpg"/>
            <wp:cNvGraphicFramePr/>
            <a:graphic xmlns:a="http://schemas.openxmlformats.org/drawingml/2006/main">
              <a:graphicData uri="http://schemas.openxmlformats.org/drawingml/2006/picture">
                <pic:pic xmlns:pic="http://schemas.openxmlformats.org/drawingml/2006/picture">
                  <pic:nvPicPr>
                    <pic:cNvPr id="1027" name="image18.jpg" descr="C:\Users\LENOVO\AppData\Local\Temp\ksohtml8044\wps32.jpg"/>
                    <pic:cNvPicPr/>
                  </pic:nvPicPr>
                  <pic:blipFill>
                    <a:blip r:embed="rId16" cstate="print"/>
                    <a:srcRect/>
                    <a:stretch>
                      <a:fillRect/>
                    </a:stretch>
                  </pic:blipFill>
                  <pic:spPr>
                    <a:xfrm>
                      <a:off x="0" y="0"/>
                      <a:ext cx="1979295" cy="2019299"/>
                    </a:xfrm>
                    <a:prstGeom prst="rect">
                      <a:avLst/>
                    </a:prstGeom>
                  </pic:spPr>
                </pic:pic>
              </a:graphicData>
            </a:graphic>
          </wp:inline>
        </w:drawing>
      </w:r>
    </w:p>
    <w:p w14:paraId="05BFD583" w14:textId="77777777" w:rsidR="00CA20B8" w:rsidRDefault="003225D9">
      <w:pPr>
        <w:jc w:val="center"/>
        <w:rPr>
          <w:sz w:val="20"/>
        </w:rPr>
      </w:pPr>
      <w:r>
        <w:rPr>
          <w:sz w:val="20"/>
          <w:szCs w:val="24"/>
        </w:rPr>
        <w:t xml:space="preserve">Figure 1. Stages of probability seismic hazard analysis </w:t>
      </w:r>
      <w:bookmarkStart w:id="0" w:name="_heading=h.3whwml4"/>
      <w:bookmarkEnd w:id="0"/>
      <w:r>
        <w:rPr>
          <w:sz w:val="20"/>
          <w:szCs w:val="24"/>
        </w:rPr>
        <w:fldChar w:fldCharType="begin"/>
      </w:r>
      <w:r>
        <w:rPr>
          <w:sz w:val="20"/>
          <w:szCs w:val="24"/>
        </w:rPr>
        <w:instrText>ADDIN CSL_CITATION {"citationItems":[{"id":"ITEM-1","itemData"</w:instrText>
      </w:r>
      <w:r>
        <w:rPr>
          <w:sz w:val="20"/>
          <w:szCs w:val="24"/>
        </w:rPr>
        <w:instrText>:{"author":[{"dropping-particle":"","family":"Baker","given":"WJ","non-dropping-particle":"","parse-names":false,"suffix":""}],"id":"ITEM-1","issued":{"date-parts":[["2008"]]},"title":"An Introduction to Probabilistic Seismic Hazard Analysis, version 1.3",</w:instrText>
      </w:r>
      <w:r>
        <w:rPr>
          <w:sz w:val="20"/>
          <w:szCs w:val="24"/>
        </w:rPr>
        <w:instrText>"type":"book"},"uris":["http://www.mendeley.com/documents/?uuid=6b5a595d-bbf1-43c2-879c-0868e9c955a7"]}],"mendeley":{"formattedCitation":"[9]","plainTextFormattedCitation":"[9]","previouslyFormattedCitation":"[9]"},"properties":{"noteIndex":0},"schema":"ht</w:instrText>
      </w:r>
      <w:r>
        <w:rPr>
          <w:sz w:val="20"/>
          <w:szCs w:val="24"/>
        </w:rPr>
        <w:instrText>tps://github.com/citation-style-language/schema/raw/master/csl-citation.json"}</w:instrText>
      </w:r>
      <w:r>
        <w:rPr>
          <w:sz w:val="20"/>
          <w:szCs w:val="24"/>
        </w:rPr>
        <w:fldChar w:fldCharType="separate"/>
      </w:r>
      <w:r>
        <w:rPr>
          <w:sz w:val="20"/>
          <w:szCs w:val="24"/>
        </w:rPr>
        <w:t>[9]</w:t>
      </w:r>
      <w:r>
        <w:rPr>
          <w:sz w:val="20"/>
          <w:szCs w:val="24"/>
        </w:rPr>
        <w:fldChar w:fldCharType="end"/>
      </w:r>
    </w:p>
    <w:p w14:paraId="2B6EB026" w14:textId="32A040EA" w:rsidR="00CA20B8" w:rsidRDefault="003225D9">
      <w:pPr>
        <w:pStyle w:val="ListParagraph"/>
        <w:snapToGrid w:val="0"/>
        <w:spacing w:after="0" w:line="260" w:lineRule="auto"/>
        <w:ind w:left="0" w:firstLine="431"/>
        <w:jc w:val="both"/>
        <w:rPr>
          <w:color w:val="000000"/>
          <w:sz w:val="20"/>
          <w:szCs w:val="24"/>
        </w:rPr>
      </w:pPr>
      <w:r>
        <w:rPr>
          <w:sz w:val="20"/>
          <w:szCs w:val="24"/>
        </w:rPr>
        <w:t>Stages of probability seismic hazard analysis</w:t>
      </w:r>
      <w:r>
        <w:rPr>
          <w:sz w:val="20"/>
          <w:szCs w:val="24"/>
        </w:rPr>
        <w:t xml:space="preserve"> start from </w:t>
      </w:r>
      <w:r>
        <w:rPr>
          <w:sz w:val="20"/>
          <w:szCs w:val="24"/>
        </w:rPr>
        <w:t>Identify</w:t>
      </w:r>
      <w:r>
        <w:rPr>
          <w:color w:val="000000"/>
          <w:sz w:val="20"/>
          <w:szCs w:val="24"/>
        </w:rPr>
        <w:t xml:space="preserve"> all sources of earthquakes that can cause damage due to ground </w:t>
      </w:r>
      <w:r>
        <w:rPr>
          <w:sz w:val="20"/>
          <w:szCs w:val="24"/>
        </w:rPr>
        <w:t>motion</w:t>
      </w:r>
      <w:r>
        <w:rPr>
          <w:color w:val="000000"/>
          <w:sz w:val="20"/>
          <w:szCs w:val="24"/>
        </w:rPr>
        <w:t xml:space="preserve">, </w:t>
      </w:r>
      <w:r>
        <w:rPr>
          <w:color w:val="000000"/>
          <w:sz w:val="20"/>
          <w:szCs w:val="24"/>
        </w:rPr>
        <w:t>Characterization of earthquake magnitude distribution</w:t>
      </w:r>
      <w:r>
        <w:rPr>
          <w:color w:val="000000"/>
          <w:sz w:val="20"/>
          <w:szCs w:val="24"/>
        </w:rPr>
        <w:t xml:space="preserve">, </w:t>
      </w:r>
      <w:r>
        <w:rPr>
          <w:color w:val="000000"/>
          <w:sz w:val="20"/>
          <w:szCs w:val="24"/>
        </w:rPr>
        <w:t>Characteristics of the distribution of the distance from the source to the location associated with a potential earthquake</w:t>
      </w:r>
      <w:r>
        <w:rPr>
          <w:color w:val="000000"/>
          <w:sz w:val="20"/>
          <w:szCs w:val="24"/>
        </w:rPr>
        <w:t xml:space="preserve">. </w:t>
      </w:r>
      <w:r>
        <w:rPr>
          <w:color w:val="000000"/>
          <w:sz w:val="20"/>
          <w:szCs w:val="24"/>
        </w:rPr>
        <w:t>Predi</w:t>
      </w:r>
      <w:r>
        <w:rPr>
          <w:color w:val="000000"/>
          <w:sz w:val="20"/>
          <w:szCs w:val="24"/>
        </w:rPr>
        <w:t>ct the resulting distribution of ground motion intensity as a function of earthquake magnitude, distance, etc. At this stage, an attenuation function is used which is considered suitable for the research area</w:t>
      </w:r>
      <w:r>
        <w:rPr>
          <w:color w:val="000000"/>
          <w:sz w:val="20"/>
          <w:szCs w:val="24"/>
        </w:rPr>
        <w:t xml:space="preserve">, </w:t>
      </w:r>
      <w:r>
        <w:rPr>
          <w:color w:val="000000"/>
          <w:sz w:val="20"/>
          <w:szCs w:val="24"/>
        </w:rPr>
        <w:t>Combining all uncertainties in terms of earthq</w:t>
      </w:r>
      <w:r>
        <w:rPr>
          <w:color w:val="000000"/>
          <w:sz w:val="20"/>
          <w:szCs w:val="24"/>
        </w:rPr>
        <w:t xml:space="preserve">uake size, location, and ground motion intensity using the total probability theorem calculation </w:t>
      </w:r>
      <w:r>
        <w:rPr>
          <w:color w:val="000000"/>
          <w:sz w:val="20"/>
          <w:szCs w:val="24"/>
        </w:rPr>
        <w:fldChar w:fldCharType="begin"/>
      </w:r>
      <w:r>
        <w:rPr>
          <w:color w:val="000000"/>
          <w:sz w:val="20"/>
          <w:szCs w:val="24"/>
        </w:rPr>
        <w:instrText>ADDIN CSL_CITATION {"citationItems":[{"id":"ITEM-1","itemData":{"author":[{"dropping-particle":"","family":"Order","given":"Radiori","non-dropping-particle":""</w:instrText>
      </w:r>
      <w:r>
        <w:rPr>
          <w:color w:val="000000"/>
          <w:sz w:val="20"/>
          <w:szCs w:val="24"/>
        </w:rPr>
        <w:instrText>,"parse-names":false,"suffix":""}],"container-title":"Indonesian Journal of Physics Innovation","id":"ITEM-1","issued":{"date-parts":[["2013"]]},"title":"Peak Ground Acceleration (Pga) Analysis Due to Earthquake East Java 08 July 2013 In the Indian Ocean 9</w:instrText>
      </w:r>
      <w:r>
        <w:rPr>
          <w:color w:val="000000"/>
          <w:sz w:val="20"/>
          <w:szCs w:val="24"/>
        </w:rPr>
        <w:instrText>,000LS – 113,010BT","type":"article-journal","volume":"2"},"uris":["http://www.mendeley.com/documents/?uuid=11eba469-f457-4775-b27d-36f7e55a4225"]}],"mendeley":{"formattedCitation":"[8]","plainTextFormattedCitation":"[8]","previouslyFormattedCitation":"[8]</w:instrText>
      </w:r>
      <w:r>
        <w:rPr>
          <w:color w:val="000000"/>
          <w:sz w:val="20"/>
          <w:szCs w:val="24"/>
        </w:rPr>
        <w:instrText>"},"properties":{"noteIndex":0},"schema":"https://github.com/citation-style-language/schema/raw/master/csl-citation.json"}</w:instrText>
      </w:r>
      <w:r>
        <w:rPr>
          <w:color w:val="000000"/>
          <w:sz w:val="20"/>
          <w:szCs w:val="24"/>
        </w:rPr>
        <w:fldChar w:fldCharType="separate"/>
      </w:r>
      <w:r>
        <w:rPr>
          <w:color w:val="000000"/>
          <w:sz w:val="20"/>
          <w:szCs w:val="24"/>
        </w:rPr>
        <w:t>[8]</w:t>
      </w:r>
      <w:r>
        <w:rPr>
          <w:color w:val="000000"/>
          <w:sz w:val="20"/>
          <w:szCs w:val="24"/>
        </w:rPr>
        <w:fldChar w:fldCharType="end"/>
      </w:r>
      <w:r>
        <w:rPr>
          <w:color w:val="000000"/>
          <w:sz w:val="20"/>
          <w:szCs w:val="24"/>
        </w:rPr>
        <w:t>.</w:t>
      </w:r>
    </w:p>
    <w:p w14:paraId="48E72334" w14:textId="74E69540" w:rsidR="003C6B81" w:rsidRDefault="003C6B81">
      <w:pPr>
        <w:pStyle w:val="ListParagraph"/>
        <w:snapToGrid w:val="0"/>
        <w:spacing w:after="0" w:line="260" w:lineRule="auto"/>
        <w:ind w:left="0" w:firstLine="431"/>
        <w:jc w:val="both"/>
        <w:rPr>
          <w:color w:val="000000"/>
          <w:sz w:val="20"/>
          <w:szCs w:val="24"/>
        </w:rPr>
      </w:pPr>
      <w:r w:rsidRPr="003C6B81">
        <w:rPr>
          <w:color w:val="000000"/>
          <w:sz w:val="20"/>
          <w:szCs w:val="24"/>
        </w:rPr>
        <w:t xml:space="preserve">PSHA uses uncertainties in its analysis such as the size, location, and frequency of earthquakes. The initial step in the PSHA is </w:t>
      </w:r>
      <w:proofErr w:type="spellStart"/>
      <w:r w:rsidRPr="003C6B81">
        <w:rPr>
          <w:color w:val="000000"/>
          <w:sz w:val="20"/>
          <w:szCs w:val="24"/>
        </w:rPr>
        <w:t>declustering</w:t>
      </w:r>
      <w:proofErr w:type="spellEnd"/>
      <w:r w:rsidRPr="003C6B81">
        <w:rPr>
          <w:color w:val="000000"/>
          <w:sz w:val="20"/>
          <w:szCs w:val="24"/>
        </w:rPr>
        <w:t>, earthquake events recorded on seismographs in the form of a main/mainshock/independent earthquake and a foreshock before the main earthquake and aftershock after the main earthquake which is called a dependent earthquake</w:t>
      </w:r>
      <w:r>
        <w:rPr>
          <w:color w:val="000000"/>
          <w:sz w:val="20"/>
          <w:szCs w:val="24"/>
        </w:rPr>
        <w:t>[</w:t>
      </w:r>
      <w:r w:rsidR="00706832">
        <w:rPr>
          <w:color w:val="000000"/>
          <w:sz w:val="20"/>
          <w:szCs w:val="24"/>
        </w:rPr>
        <w:t>10</w:t>
      </w:r>
      <w:r>
        <w:rPr>
          <w:color w:val="000000"/>
          <w:sz w:val="20"/>
          <w:szCs w:val="24"/>
        </w:rPr>
        <w:t>].</w:t>
      </w:r>
    </w:p>
    <w:p w14:paraId="50205FDC" w14:textId="7D4A65FD" w:rsidR="00CA20B8" w:rsidRDefault="003225D9">
      <w:pPr>
        <w:pStyle w:val="ListParagraph"/>
        <w:snapToGrid w:val="0"/>
        <w:spacing w:after="0" w:line="260" w:lineRule="auto"/>
        <w:ind w:left="0" w:firstLine="431"/>
        <w:jc w:val="both"/>
        <w:rPr>
          <w:sz w:val="20"/>
          <w:szCs w:val="24"/>
        </w:rPr>
      </w:pPr>
      <w:r>
        <w:rPr>
          <w:sz w:val="20"/>
          <w:szCs w:val="24"/>
        </w:rPr>
        <w:t xml:space="preserve">Formula </w:t>
      </w:r>
      <w:r w:rsidRPr="003C6B81">
        <w:rPr>
          <w:rFonts w:eastAsia="Times New Roman" w:cs="Times New Roman"/>
          <w:sz w:val="20"/>
          <w:szCs w:val="20"/>
        </w:rPr>
        <w:t>base</w:t>
      </w:r>
      <w:r>
        <w:rPr>
          <w:color w:val="000000"/>
          <w:sz w:val="20"/>
          <w:szCs w:val="24"/>
        </w:rPr>
        <w:t xml:space="preserve"> </w:t>
      </w:r>
      <w:r>
        <w:rPr>
          <w:sz w:val="20"/>
          <w:szCs w:val="24"/>
        </w:rPr>
        <w:t>of the total probability theory developed by McGuire in 1976 related to the probability concept developed by Cor</w:t>
      </w:r>
      <w:r>
        <w:rPr>
          <w:sz w:val="20"/>
          <w:szCs w:val="24"/>
        </w:rPr>
        <w:t xml:space="preserve">nell in 1968 </w:t>
      </w:r>
      <w:r>
        <w:rPr>
          <w:sz w:val="20"/>
          <w:szCs w:val="24"/>
        </w:rPr>
        <w:fldChar w:fldCharType="begin"/>
      </w:r>
      <w:r>
        <w:rPr>
          <w:sz w:val="20"/>
          <w:szCs w:val="24"/>
        </w:rPr>
        <w:instrText>ADDIN CSL_CITATION {"citationItems":[{"id":"ITEM-1","itemData":{"author":[{"dropping-particle":"","family":"Cornell","given":"CA","non-dropping-particle":"","parse-names":false,"suffix":""}],"id":"ITEM-1","issued":{"date-parts":[["1968"]]},"nu</w:instrText>
      </w:r>
      <w:r>
        <w:rPr>
          <w:sz w:val="20"/>
          <w:szCs w:val="24"/>
        </w:rPr>
        <w:instrText>mber-of-pages":"1583-1606","title":"Engineering seismic risk analysis, Bull.Seism. soc. Am","type":"book"},"uris":["http://www.mendeley.com/documents/?uuid=acd3b42b-0203-411a-843a-78d72bc9b025"]}],"mendeley":{"formattedCitation":"[10]","plainTextFormattedC</w:instrText>
      </w:r>
      <w:r>
        <w:rPr>
          <w:sz w:val="20"/>
          <w:szCs w:val="24"/>
        </w:rPr>
        <w:instrText>itation":"[10]","previouslyFormattedCitation":"[10]"},"properties":{"noteIndex":0},"schema":"https://github.com/citation-style-language/schema/raw/master/csl-citation.json"}</w:instrText>
      </w:r>
      <w:r>
        <w:rPr>
          <w:sz w:val="20"/>
          <w:szCs w:val="24"/>
        </w:rPr>
        <w:fldChar w:fldCharType="separate"/>
      </w:r>
      <w:r>
        <w:rPr>
          <w:sz w:val="20"/>
          <w:szCs w:val="24"/>
        </w:rPr>
        <w:t>[1</w:t>
      </w:r>
      <w:r w:rsidR="00706832">
        <w:rPr>
          <w:sz w:val="20"/>
          <w:szCs w:val="24"/>
        </w:rPr>
        <w:t>1</w:t>
      </w:r>
      <w:r>
        <w:rPr>
          <w:sz w:val="20"/>
          <w:szCs w:val="24"/>
        </w:rPr>
        <w:t>]</w:t>
      </w:r>
      <w:r>
        <w:rPr>
          <w:sz w:val="20"/>
          <w:szCs w:val="24"/>
        </w:rPr>
        <w:fldChar w:fldCharType="end"/>
      </w:r>
      <w:r>
        <w:rPr>
          <w:sz w:val="20"/>
          <w:szCs w:val="24"/>
        </w:rPr>
        <w:t>, which are as follows:</w:t>
      </w:r>
    </w:p>
    <w:p w14:paraId="050A51EB" w14:textId="77777777" w:rsidR="00CA20B8" w:rsidRDefault="00CA20B8">
      <w:pPr>
        <w:pStyle w:val="ListParagraph"/>
        <w:snapToGrid w:val="0"/>
        <w:spacing w:after="0" w:line="260" w:lineRule="auto"/>
        <w:ind w:left="0" w:firstLine="431"/>
        <w:jc w:val="both"/>
        <w:rPr>
          <w:sz w:val="20"/>
          <w:szCs w:val="24"/>
        </w:rPr>
      </w:pPr>
    </w:p>
    <w:p w14:paraId="77F5536C" w14:textId="77777777" w:rsidR="00CA20B8" w:rsidRDefault="003225D9">
      <w:pPr>
        <w:pStyle w:val="ListParagraph"/>
        <w:snapToGrid w:val="0"/>
        <w:spacing w:after="0" w:line="260" w:lineRule="auto"/>
        <w:ind w:left="0" w:firstLine="432"/>
        <w:jc w:val="both"/>
        <w:rPr>
          <w:rFonts w:hAnsi="Cambria Math" w:cs="Times New Roman"/>
          <w:sz w:val="20"/>
          <w:szCs w:val="20"/>
        </w:rPr>
      </w:pPr>
      <m:oMath>
        <m:r>
          <w:rPr>
            <w:rFonts w:ascii="Cambria Math" w:hAnsi="Cambria Math" w:cs="Times New Roman"/>
            <w:sz w:val="20"/>
            <w:szCs w:val="20"/>
          </w:rPr>
          <m:t>P</m:t>
        </m:r>
        <m:d>
          <m:dPr>
            <m:begChr m:val="["/>
            <m:endChr m:val="]"/>
            <m:ctrlPr>
              <w:rPr>
                <w:rFonts w:ascii="Cambria Math" w:hAnsi="Cambria Math" w:cs="Times New Roman"/>
                <w:sz w:val="20"/>
                <w:szCs w:val="20"/>
              </w:rPr>
            </m:ctrlPr>
          </m:dPr>
          <m:e>
            <m:r>
              <w:rPr>
                <w:rFonts w:ascii="Cambria Math" w:hAnsi="Cambria Math" w:cs="Times New Roman"/>
                <w:sz w:val="20"/>
                <w:szCs w:val="20"/>
              </w:rPr>
              <m:t>I</m:t>
            </m:r>
            <m:r>
              <m:rPr>
                <m:sty m:val="p"/>
              </m:rPr>
              <w:rPr>
                <w:rFonts w:ascii="Cambria Math" w:hAnsi="Cambria Math" w:cs="Times New Roman"/>
                <w:sz w:val="20"/>
                <w:szCs w:val="20"/>
              </w:rPr>
              <m:t>≥</m:t>
            </m:r>
            <m:r>
              <m:rPr>
                <m:scr m:val="script"/>
                <m:sty m:val="p"/>
              </m:rPr>
              <w:rPr>
                <w:rFonts w:ascii="Cambria Math" w:eastAsia="MS Mincho" w:hAnsi="Cambria Math" w:cs="MS Mincho"/>
                <w:sz w:val="20"/>
                <w:szCs w:val="20"/>
              </w:rPr>
              <m:t>i</m:t>
            </m:r>
            <m:r>
              <m:rPr>
                <m:sty m:val="p"/>
              </m:rPr>
              <w:rPr>
                <w:rFonts w:ascii="Cambria Math" w:hAnsi="Cambria Math" w:cs="Times New Roman"/>
                <w:sz w:val="20"/>
                <w:szCs w:val="20"/>
              </w:rPr>
              <m:t>\</m:t>
            </m:r>
            <m:r>
              <m:rPr>
                <m:scr m:val="script"/>
                <m:sty m:val="p"/>
              </m:rPr>
              <w:rPr>
                <w:rFonts w:ascii="Cambria Math" w:eastAsia="MS Mincho" w:hAnsi="Cambria Math" w:cs="MS Mincho"/>
                <w:sz w:val="20"/>
                <w:szCs w:val="20"/>
              </w:rPr>
              <m:t>m</m:t>
            </m:r>
            <m:r>
              <m:rPr>
                <m:sty m:val="p"/>
              </m:rPr>
              <w:rPr>
                <w:rFonts w:ascii="Cambria Math" w:hAnsi="Cambria Math" w:cs="Times New Roman"/>
                <w:sz w:val="20"/>
                <w:szCs w:val="20"/>
              </w:rPr>
              <m:t>,</m:t>
            </m:r>
            <m:r>
              <w:rPr>
                <w:rFonts w:ascii="Cambria Math" w:hAnsi="Cambria Math" w:cs="Times New Roman"/>
                <w:sz w:val="20"/>
                <w:szCs w:val="20"/>
              </w:rPr>
              <m:t>r</m:t>
            </m:r>
          </m:e>
        </m:d>
        <m:r>
          <m:rPr>
            <m:sty m:val="p"/>
          </m:rPr>
          <w:rPr>
            <w:rFonts w:ascii="Cambria Math" w:hAnsi="Cambria Math" w:cs="Times New Roman"/>
            <w:sz w:val="20"/>
            <w:szCs w:val="20"/>
          </w:rPr>
          <m:t>=</m:t>
        </m:r>
        <m:nary>
          <m:naryPr>
            <m:chr m:val="∬"/>
            <m:limLoc m:val="undOvr"/>
            <m:subHide m:val="1"/>
            <m:supHide m:val="1"/>
            <m:ctrlPr>
              <w:rPr>
                <w:rFonts w:ascii="Cambria Math" w:hAnsi="Cambria Math" w:cs="Times New Roman"/>
                <w:sz w:val="20"/>
                <w:szCs w:val="20"/>
              </w:rPr>
            </m:ctrlPr>
          </m:naryPr>
          <m:sub/>
          <m:sup/>
          <m:e>
            <m:r>
              <w:rPr>
                <w:rFonts w:ascii="Cambria Math" w:hAnsi="Cambria Math" w:cs="Times New Roman"/>
                <w:sz w:val="20"/>
                <w:szCs w:val="20"/>
              </w:rPr>
              <m:t>P</m:t>
            </m:r>
            <m:d>
              <m:dPr>
                <m:begChr m:val="["/>
                <m:endChr m:val="]"/>
                <m:ctrlPr>
                  <w:rPr>
                    <w:rFonts w:ascii="Cambria Math" w:hAnsi="Cambria Math" w:cs="Times New Roman"/>
                    <w:sz w:val="20"/>
                    <w:szCs w:val="20"/>
                  </w:rPr>
                </m:ctrlPr>
              </m:dPr>
              <m:e>
                <m:r>
                  <w:rPr>
                    <w:rFonts w:ascii="Cambria Math" w:hAnsi="Cambria Math" w:cs="Times New Roman"/>
                    <w:sz w:val="20"/>
                    <w:szCs w:val="20"/>
                  </w:rPr>
                  <m:t>I</m:t>
                </m:r>
                <m:r>
                  <m:rPr>
                    <m:sty m:val="p"/>
                  </m:rPr>
                  <w:rPr>
                    <w:rFonts w:ascii="Cambria Math" w:hAnsi="Cambria Math" w:cs="Times New Roman"/>
                    <w:sz w:val="20"/>
                    <w:szCs w:val="20"/>
                  </w:rPr>
                  <m:t>≥</m:t>
                </m:r>
                <m:r>
                  <m:rPr>
                    <m:scr m:val="script"/>
                    <m:sty m:val="p"/>
                  </m:rPr>
                  <w:rPr>
                    <w:rFonts w:ascii="Cambria Math" w:eastAsia="MS Mincho" w:hAnsi="Cambria Math" w:cs="MS Mincho"/>
                    <w:sz w:val="20"/>
                    <w:szCs w:val="20"/>
                  </w:rPr>
                  <m:t>i</m:t>
                </m:r>
                <m:r>
                  <m:rPr>
                    <m:sty m:val="p"/>
                  </m:rPr>
                  <w:rPr>
                    <w:rFonts w:ascii="Cambria Math" w:hAnsi="Cambria Math" w:cs="Times New Roman"/>
                    <w:sz w:val="20"/>
                    <w:szCs w:val="20"/>
                  </w:rPr>
                  <m:t>;</m:t>
                </m:r>
                <m:r>
                  <m:rPr>
                    <m:scr m:val="script"/>
                    <m:sty m:val="p"/>
                  </m:rPr>
                  <w:rPr>
                    <w:rFonts w:ascii="Cambria Math" w:eastAsia="MS Mincho" w:hAnsi="Cambria Math" w:cs="MS Mincho"/>
                    <w:sz w:val="20"/>
                    <w:szCs w:val="20"/>
                  </w:rPr>
                  <m:t>m</m:t>
                </m:r>
                <m:r>
                  <m:rPr>
                    <m:sty m:val="p"/>
                  </m:rPr>
                  <w:rPr>
                    <w:rFonts w:ascii="Cambria Math" w:hAnsi="Cambria Math" w:cs="Times New Roman"/>
                    <w:sz w:val="20"/>
                    <w:szCs w:val="20"/>
                  </w:rPr>
                  <m:t>,</m:t>
                </m:r>
                <m:r>
                  <w:rPr>
                    <w:rFonts w:ascii="Cambria Math" w:hAnsi="Cambria Math" w:cs="Times New Roman"/>
                    <w:sz w:val="20"/>
                    <w:szCs w:val="20"/>
                  </w:rPr>
                  <m:t>r</m:t>
                </m:r>
              </m:e>
            </m:d>
            <m:r>
              <m:rPr>
                <m:sty m:val="p"/>
              </m:rPr>
              <w:rPr>
                <w:rFonts w:ascii="Cambria Math" w:hAnsi="Cambria Math" w:cs="Times New Roman"/>
                <w:sz w:val="20"/>
                <w:szCs w:val="20"/>
              </w:rPr>
              <m:t xml:space="preserve"> </m:t>
            </m:r>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m</m:t>
                </m:r>
              </m:sub>
            </m:sSub>
          </m:e>
        </m:nary>
        <m:sSub>
          <m:sSubPr>
            <m:ctrlPr>
              <w:rPr>
                <w:rFonts w:ascii="Cambria Math" w:hAnsi="Cambria Math" w:cs="Times New Roman"/>
                <w:sz w:val="20"/>
                <w:szCs w:val="20"/>
              </w:rPr>
            </m:ctrlPr>
          </m:sSubPr>
          <m:e>
            <m:r>
              <w:rPr>
                <w:rFonts w:ascii="Cambria Math" w:hAnsi="Cambria Math" w:cs="Times New Roman"/>
                <w:sz w:val="20"/>
                <w:szCs w:val="20"/>
              </w:rPr>
              <m:t>f</m:t>
            </m:r>
          </m:e>
          <m:sub>
            <m:r>
              <m:rPr>
                <m:sty m:val="p"/>
              </m:rPr>
              <w:rPr>
                <w:rFonts w:ascii="Cambria Math" w:hAnsi="Cambria Math" w:cs="Times New Roman"/>
                <w:sz w:val="20"/>
                <w:szCs w:val="20"/>
              </w:rPr>
              <m:t xml:space="preserve">r </m:t>
            </m:r>
          </m:sub>
        </m:sSub>
        <m:r>
          <w:rPr>
            <w:rFonts w:ascii="Cambria Math" w:hAnsi="Cambria Math" w:cs="Times New Roman"/>
            <w:sz w:val="20"/>
            <w:szCs w:val="20"/>
          </w:rPr>
          <m:t>dmdr</m:t>
        </m:r>
      </m:oMath>
      <w:r>
        <w:rPr>
          <w:rFonts w:hAnsi="Cambria Math" w:cs="Times New Roman"/>
          <w:sz w:val="20"/>
          <w:szCs w:val="20"/>
        </w:rPr>
        <w:t xml:space="preserve"> </w:t>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t>(1)</w:t>
      </w:r>
    </w:p>
    <w:p w14:paraId="198E5923" w14:textId="77777777" w:rsidR="00CA20B8" w:rsidRDefault="00CA20B8">
      <w:pPr>
        <w:pStyle w:val="ListParagraph"/>
        <w:snapToGrid w:val="0"/>
        <w:spacing w:after="0" w:line="260" w:lineRule="auto"/>
        <w:ind w:left="0" w:firstLine="432"/>
        <w:jc w:val="both"/>
        <w:rPr>
          <w:rFonts w:hAnsi="Cambria Math" w:cs="Times New Roman"/>
          <w:sz w:val="20"/>
          <w:szCs w:val="20"/>
        </w:rPr>
      </w:pPr>
    </w:p>
    <w:p w14:paraId="04FE53C8" w14:textId="77777777" w:rsidR="00CA20B8" w:rsidRDefault="003225D9">
      <w:pPr>
        <w:pStyle w:val="ListParagraph"/>
        <w:snapToGrid w:val="0"/>
        <w:spacing w:after="0" w:line="260" w:lineRule="auto"/>
        <w:ind w:left="0" w:firstLine="431"/>
        <w:jc w:val="both"/>
        <w:rPr>
          <w:rFonts w:eastAsia="Times New Roman" w:cs="Times New Roman"/>
          <w:sz w:val="20"/>
          <w:szCs w:val="20"/>
        </w:rPr>
      </w:pPr>
      <w:r>
        <w:rPr>
          <w:rFonts w:eastAsia="Times New Roman" w:cs="Times New Roman"/>
          <w:color w:val="000000"/>
          <w:sz w:val="20"/>
          <w:szCs w:val="20"/>
        </w:rPr>
        <w:lastRenderedPageBreak/>
        <w:t xml:space="preserve">Where </w:t>
      </w:r>
      <w:proofErr w:type="spellStart"/>
      <w:r>
        <w:rPr>
          <w:rFonts w:eastAsia="Times New Roman" w:cs="Times New Roman"/>
          <w:i/>
          <w:sz w:val="20"/>
          <w:szCs w:val="20"/>
        </w:rPr>
        <w:t>fm</w:t>
      </w:r>
      <w:r>
        <w:rPr>
          <w:rFonts w:eastAsia="Times New Roman" w:cs="Times New Roman"/>
          <w:sz w:val="20"/>
          <w:szCs w:val="20"/>
        </w:rPr>
        <w:t>is</w:t>
      </w:r>
      <w:proofErr w:type="spellEnd"/>
      <w:r>
        <w:rPr>
          <w:rFonts w:eastAsia="Times New Roman" w:cs="Times New Roman"/>
          <w:sz w:val="20"/>
          <w:szCs w:val="20"/>
        </w:rPr>
        <w:t xml:space="preserve"> the probability density function of the magnitude, </w:t>
      </w:r>
      <w:proofErr w:type="spellStart"/>
      <w:r>
        <w:rPr>
          <w:rFonts w:eastAsia="Times New Roman" w:cs="Times New Roman"/>
          <w:sz w:val="20"/>
          <w:szCs w:val="20"/>
        </w:rPr>
        <w:t>fr</w:t>
      </w:r>
      <w:proofErr w:type="spellEnd"/>
      <w:r>
        <w:rPr>
          <w:rFonts w:eastAsia="Times New Roman" w:cs="Times New Roman"/>
          <w:sz w:val="20"/>
          <w:szCs w:val="20"/>
        </w:rPr>
        <w:t xml:space="preserve"> is the probability density function of the hypocenter distance, = random probability condition of intensity (I) that exceeds the value of (</w:t>
      </w:r>
      <w:proofErr w:type="spellStart"/>
      <w:r>
        <w:rPr>
          <w:rFonts w:eastAsia="Times New Roman" w:cs="Times New Roman"/>
          <w:sz w:val="20"/>
          <w:szCs w:val="20"/>
        </w:rPr>
        <w:t>i</w:t>
      </w:r>
      <w:proofErr w:type="spellEnd"/>
      <w:r>
        <w:rPr>
          <w:rFonts w:eastAsia="Times New Roman" w:cs="Times New Roman"/>
          <w:sz w:val="20"/>
          <w:szCs w:val="20"/>
        </w:rPr>
        <w:t xml:space="preserve">) at a location due to </w:t>
      </w:r>
      <w:r>
        <w:rPr>
          <w:rFonts w:eastAsia="Times New Roman" w:cs="Times New Roman"/>
          <w:sz w:val="20"/>
          <w:szCs w:val="20"/>
        </w:rPr>
        <w:t>earthquake magnitude (m) and hypocenter distance (r)</w:t>
      </w:r>
      <m:oMath>
        <m:r>
          <w:rPr>
            <w:rFonts w:ascii="Cambria Math" w:hAnsi="Cambria Math" w:cs="Times New Roman"/>
            <w:sz w:val="20"/>
            <w:szCs w:val="20"/>
          </w:rPr>
          <m:t>P</m:t>
        </m:r>
        <m:d>
          <m:dPr>
            <m:begChr m:val="["/>
            <m:endChr m:val="]"/>
            <m:ctrlPr>
              <w:rPr>
                <w:rFonts w:ascii="Cambria Math" w:hAnsi="Cambria Math" w:cs="Times New Roman"/>
                <w:sz w:val="20"/>
                <w:szCs w:val="20"/>
              </w:rPr>
            </m:ctrlPr>
          </m:dPr>
          <m:e>
            <m:r>
              <w:rPr>
                <w:rFonts w:ascii="Cambria Math" w:hAnsi="Cambria Math" w:cs="Times New Roman"/>
                <w:sz w:val="20"/>
                <w:szCs w:val="20"/>
              </w:rPr>
              <m:t>I</m:t>
            </m:r>
            <m:r>
              <m:rPr>
                <m:sty m:val="p"/>
              </m:rPr>
              <w:rPr>
                <w:rFonts w:ascii="Cambria Math" w:hAnsi="Cambria Math" w:cs="Times New Roman"/>
                <w:sz w:val="20"/>
                <w:szCs w:val="20"/>
              </w:rPr>
              <m:t>≥</m:t>
            </m:r>
            <m:r>
              <m:rPr>
                <m:scr m:val="script"/>
                <m:sty m:val="p"/>
              </m:rPr>
              <w:rPr>
                <w:rFonts w:ascii="Cambria Math" w:eastAsia="MS Mincho" w:hAnsi="Cambria Math" w:cs="MS Mincho"/>
                <w:sz w:val="20"/>
                <w:szCs w:val="20"/>
              </w:rPr>
              <m:t>i</m:t>
            </m:r>
            <m:r>
              <m:rPr>
                <m:sty m:val="p"/>
              </m:rPr>
              <w:rPr>
                <w:rFonts w:ascii="Cambria Math" w:hAnsi="Cambria Math" w:cs="Times New Roman"/>
                <w:sz w:val="20"/>
                <w:szCs w:val="20"/>
              </w:rPr>
              <m:t>\</m:t>
            </m:r>
            <m:r>
              <m:rPr>
                <m:scr m:val="script"/>
                <m:sty m:val="p"/>
              </m:rPr>
              <w:rPr>
                <w:rFonts w:ascii="Cambria Math" w:eastAsia="MS Mincho" w:hAnsi="Cambria Math" w:cs="MS Mincho"/>
                <w:sz w:val="20"/>
                <w:szCs w:val="20"/>
              </w:rPr>
              <m:t>m</m:t>
            </m:r>
            <m:r>
              <m:rPr>
                <m:sty m:val="p"/>
              </m:rPr>
              <w:rPr>
                <w:rFonts w:ascii="Cambria Math" w:hAnsi="Cambria Math" w:cs="Times New Roman"/>
                <w:sz w:val="20"/>
                <w:szCs w:val="20"/>
              </w:rPr>
              <m:t>,</m:t>
            </m:r>
            <m:r>
              <w:rPr>
                <w:rFonts w:ascii="Cambria Math" w:hAnsi="Cambria Math" w:cs="Times New Roman"/>
                <w:sz w:val="20"/>
                <w:szCs w:val="20"/>
              </w:rPr>
              <m:t>r</m:t>
            </m:r>
          </m:e>
        </m:d>
      </m:oMath>
      <w:r>
        <w:rPr>
          <w:rFonts w:eastAsia="Times New Roman" w:cs="Times New Roman"/>
          <w:sz w:val="20"/>
          <w:szCs w:val="20"/>
        </w:rPr>
        <w:t>.</w:t>
      </w:r>
    </w:p>
    <w:p w14:paraId="2BE0DEBF" w14:textId="77777777" w:rsidR="00CA20B8" w:rsidRDefault="003225D9">
      <w:pPr>
        <w:pStyle w:val="ListParagraph"/>
        <w:snapToGrid w:val="0"/>
        <w:spacing w:after="0" w:line="260" w:lineRule="auto"/>
        <w:ind w:left="0" w:firstLine="431"/>
        <w:jc w:val="both"/>
        <w:rPr>
          <w:rFonts w:eastAsia="Times New Roman" w:cs="Times New Roman"/>
          <w:sz w:val="20"/>
          <w:szCs w:val="20"/>
        </w:rPr>
      </w:pPr>
      <w:r>
        <w:rPr>
          <w:rFonts w:eastAsia="Times New Roman" w:cs="Times New Roman"/>
          <w:sz w:val="20"/>
          <w:szCs w:val="20"/>
        </w:rPr>
        <w:t>The final result of this hazard analysis includes a map of the maximum acceleration in the bedrock at T = 0 seconds or usually also called PGA (peak ground acceleration) for the probability</w:t>
      </w:r>
      <w:r>
        <w:rPr>
          <w:rFonts w:eastAsia="Times New Roman" w:cs="Times New Roman"/>
          <w:sz w:val="20"/>
          <w:szCs w:val="20"/>
        </w:rPr>
        <w:t xml:space="preserve"> of exceeding 10% and 2% within 50 years. Earthquake risk is the probability of exceedance of an earthquake with a certain intensity during the life of the building. The value of earthquake risk is mathematically expressed in the following equation.</w:t>
      </w:r>
    </w:p>
    <w:p w14:paraId="6CCE1CFA" w14:textId="77777777" w:rsidR="00CA20B8" w:rsidRDefault="00CA20B8">
      <w:pPr>
        <w:pStyle w:val="ListParagraph"/>
        <w:snapToGrid w:val="0"/>
        <w:spacing w:after="0" w:line="260" w:lineRule="auto"/>
        <w:ind w:left="0" w:firstLine="431"/>
        <w:jc w:val="both"/>
        <w:rPr>
          <w:rFonts w:eastAsia="Times New Roman" w:cs="Times New Roman"/>
          <w:sz w:val="20"/>
          <w:szCs w:val="20"/>
        </w:rPr>
      </w:pPr>
    </w:p>
    <w:p w14:paraId="3A3A899F" w14:textId="77777777" w:rsidR="00CA20B8" w:rsidRDefault="003225D9">
      <w:pPr>
        <w:pStyle w:val="ListParagraph"/>
        <w:snapToGrid w:val="0"/>
        <w:spacing w:after="0" w:line="260" w:lineRule="auto"/>
        <w:ind w:left="0" w:firstLine="432"/>
        <w:jc w:val="both"/>
        <w:rPr>
          <w:rFonts w:hAnsi="Cambria Math"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n</m:t>
            </m:r>
          </m:sub>
        </m:sSub>
        <m:r>
          <w:rPr>
            <w:rFonts w:ascii="Cambria Math" w:hAnsi="Cambria Math" w:cs="Times New Roman"/>
            <w:sz w:val="20"/>
            <w:szCs w:val="20"/>
          </w:rPr>
          <m:t>=</m:t>
        </m:r>
        <m:r>
          <w:rPr>
            <w:rFonts w:ascii="Cambria Math" w:hAnsi="Cambria Math" w:cs="Times New Roman"/>
            <w:sz w:val="20"/>
            <w:szCs w:val="20"/>
          </w:rPr>
          <m:t>1-(1-</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a</m:t>
            </m:r>
          </m:sub>
        </m:sSub>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N</m:t>
            </m:r>
          </m:sup>
        </m:sSup>
      </m:oMath>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r>
      <w:r>
        <w:rPr>
          <w:rFonts w:hAnsi="Cambria Math" w:cs="Times New Roman"/>
          <w:sz w:val="20"/>
          <w:szCs w:val="20"/>
        </w:rPr>
        <w:tab/>
        <w:t>(2)</w:t>
      </w:r>
    </w:p>
    <w:p w14:paraId="72BE7AB1" w14:textId="77777777" w:rsidR="00CA20B8" w:rsidRDefault="00CA20B8">
      <w:pPr>
        <w:pStyle w:val="ListParagraph"/>
        <w:snapToGrid w:val="0"/>
        <w:spacing w:after="0" w:line="260" w:lineRule="auto"/>
        <w:ind w:left="0" w:firstLine="431"/>
        <w:jc w:val="both"/>
        <w:rPr>
          <w:rFonts w:hAnsi="Cambria Math" w:cs="Times New Roman"/>
          <w:sz w:val="20"/>
          <w:szCs w:val="20"/>
        </w:rPr>
      </w:pPr>
    </w:p>
    <w:p w14:paraId="1075C1A7" w14:textId="77777777" w:rsidR="00CA20B8" w:rsidRDefault="003225D9">
      <w:pPr>
        <w:pStyle w:val="ListParagraph"/>
        <w:snapToGrid w:val="0"/>
        <w:spacing w:after="0" w:line="260" w:lineRule="auto"/>
        <w:ind w:left="0" w:firstLine="431"/>
        <w:jc w:val="both"/>
        <w:rPr>
          <w:rFonts w:eastAsia="Times New Roman" w:cs="Times New Roman"/>
          <w:sz w:val="20"/>
          <w:szCs w:val="20"/>
        </w:rPr>
      </w:pPr>
      <w:r>
        <w:rPr>
          <w:rFonts w:eastAsia="Times New Roman" w:cs="Times New Roman"/>
          <w:sz w:val="20"/>
          <w:szCs w:val="20"/>
        </w:rPr>
        <w:t>Where is Rn</w:t>
      </w:r>
      <w:r>
        <w:rPr>
          <w:rFonts w:eastAsia="Times New Roman" w:cs="Times New Roman"/>
          <w:i/>
          <w:sz w:val="20"/>
          <w:szCs w:val="20"/>
          <w:vertAlign w:val="subscript"/>
        </w:rPr>
        <w:t xml:space="preserve"> </w:t>
      </w:r>
      <w:r>
        <w:rPr>
          <w:rFonts w:eastAsia="Times New Roman" w:cs="Times New Roman"/>
          <w:sz w:val="20"/>
          <w:szCs w:val="20"/>
        </w:rPr>
        <w:t>is earthquake risk, Ra is the annual risk of 1/T, T is the earthquake return period and N is the mass of the building.</w:t>
      </w:r>
    </w:p>
    <w:p w14:paraId="1092E622" w14:textId="33298F24" w:rsidR="00CA20B8" w:rsidRDefault="003225D9">
      <w:pPr>
        <w:pStyle w:val="ListParagraph"/>
        <w:snapToGrid w:val="0"/>
        <w:spacing w:after="0" w:line="260" w:lineRule="auto"/>
        <w:ind w:left="0" w:firstLine="431"/>
        <w:jc w:val="both"/>
        <w:rPr>
          <w:rFonts w:eastAsia="Times New Roman" w:cs="Times New Roman"/>
          <w:color w:val="000000"/>
          <w:sz w:val="20"/>
          <w:szCs w:val="20"/>
        </w:rPr>
      </w:pPr>
      <w:r>
        <w:rPr>
          <w:rFonts w:eastAsia="Times New Roman" w:cs="Times New Roman"/>
          <w:color w:val="000000"/>
          <w:sz w:val="20"/>
          <w:szCs w:val="20"/>
        </w:rPr>
        <w:t xml:space="preserve">Following </w:t>
      </w:r>
      <w:r>
        <w:rPr>
          <w:rFonts w:eastAsia="Times New Roman" w:cs="Times New Roman"/>
          <w:sz w:val="20"/>
          <w:szCs w:val="20"/>
        </w:rPr>
        <w:t xml:space="preserve">is </w:t>
      </w:r>
      <w:r>
        <w:rPr>
          <w:rFonts w:eastAsia="Times New Roman" w:cs="Times New Roman"/>
          <w:color w:val="000000"/>
          <w:sz w:val="20"/>
          <w:szCs w:val="20"/>
        </w:rPr>
        <w:t xml:space="preserve">attenuation function that can be used in this study </w:t>
      </w:r>
      <w:r>
        <w:rPr>
          <w:rFonts w:eastAsia="Times New Roman" w:cs="Times New Roman"/>
          <w:color w:val="000000"/>
          <w:sz w:val="20"/>
          <w:szCs w:val="20"/>
        </w:rPr>
        <w:fldChar w:fldCharType="begin"/>
      </w:r>
      <w:r>
        <w:rPr>
          <w:rFonts w:eastAsia="Times New Roman" w:cs="Times New Roman"/>
          <w:color w:val="000000"/>
          <w:sz w:val="20"/>
          <w:szCs w:val="20"/>
        </w:rPr>
        <w:instrText>ADDIN CSL_CITATION {"citationIt</w:instrText>
      </w:r>
      <w:r>
        <w:rPr>
          <w:rFonts w:eastAsia="Times New Roman" w:cs="Times New Roman"/>
          <w:color w:val="000000"/>
          <w:sz w:val="20"/>
          <w:szCs w:val="20"/>
        </w:rPr>
        <w:instrText>ems":[{"id":"ITEM-1","itemData":{"author":[{"dropping-particle":"","family":"Tribe","given":"John Laka","non-dropping-particle":"","parse-names":false,"suffix":""}],"id":"ITEM-1","issued":{"date-parts":[["2014"]]},"title":"Earthquake Risk Probabilistic Ana</w:instrText>
      </w:r>
      <w:r>
        <w:rPr>
          <w:rFonts w:eastAsia="Times New Roman" w:cs="Times New Roman"/>
          <w:color w:val="000000"/>
          <w:sz w:val="20"/>
          <w:szCs w:val="20"/>
        </w:rPr>
        <w:instrText>lysis (Probabilistic Seismic Hazard Analysis) in Ende City Based on Joyner-Boore Dan Youngs Attenuation Function.","type":"book"},"uris":["http://www.mendeley.com/documents/?uuid=54023c7c-1c7d-4165-9368-b13a8a552133"]}],"mendeley":{"formattedCitation":"[11</w:instrText>
      </w:r>
      <w:r>
        <w:rPr>
          <w:rFonts w:eastAsia="Times New Roman" w:cs="Times New Roman"/>
          <w:color w:val="000000"/>
          <w:sz w:val="20"/>
          <w:szCs w:val="20"/>
        </w:rPr>
        <w:instrText>]","plainTextFormattedCitation":"[11]","previouslyFormattedCitation":"[11]"},"properties":{"noteIndex":0},"schema":"https://github.com/citation-style-language/schema/raw/master/csl-citation.json"}</w:instrText>
      </w:r>
      <w:r>
        <w:rPr>
          <w:rFonts w:eastAsia="Times New Roman" w:cs="Times New Roman"/>
          <w:color w:val="000000"/>
          <w:sz w:val="20"/>
          <w:szCs w:val="20"/>
        </w:rPr>
        <w:fldChar w:fldCharType="separate"/>
      </w:r>
      <w:r>
        <w:rPr>
          <w:rFonts w:eastAsia="Times New Roman" w:cs="Times New Roman"/>
          <w:color w:val="000000"/>
          <w:sz w:val="20"/>
          <w:szCs w:val="20"/>
        </w:rPr>
        <w:t>[1</w:t>
      </w:r>
      <w:r w:rsidR="00706832">
        <w:rPr>
          <w:rFonts w:eastAsia="Times New Roman" w:cs="Times New Roman"/>
          <w:color w:val="000000"/>
          <w:sz w:val="20"/>
          <w:szCs w:val="20"/>
        </w:rPr>
        <w:t>2</w:t>
      </w:r>
      <w:r>
        <w:rPr>
          <w:rFonts w:eastAsia="Times New Roman" w:cs="Times New Roman"/>
          <w:color w:val="000000"/>
          <w:sz w:val="20"/>
          <w:szCs w:val="20"/>
        </w:rPr>
        <w:t>]</w:t>
      </w:r>
      <w:r>
        <w:rPr>
          <w:rFonts w:eastAsia="Times New Roman" w:cs="Times New Roman"/>
          <w:color w:val="000000"/>
          <w:sz w:val="20"/>
          <w:szCs w:val="20"/>
        </w:rPr>
        <w:fldChar w:fldCharType="end"/>
      </w:r>
      <w:r>
        <w:rPr>
          <w:rFonts w:eastAsia="Times New Roman" w:cs="Times New Roman"/>
          <w:color w:val="000000"/>
          <w:sz w:val="20"/>
          <w:szCs w:val="20"/>
        </w:rPr>
        <w:t>, namely:</w:t>
      </w:r>
    </w:p>
    <w:p w14:paraId="6E935E3F" w14:textId="77777777" w:rsidR="00CA20B8" w:rsidRDefault="003225D9">
      <w:pPr>
        <w:numPr>
          <w:ilvl w:val="0"/>
          <w:numId w:val="6"/>
        </w:numPr>
        <w:spacing w:after="0" w:line="240" w:lineRule="auto"/>
        <w:jc w:val="both"/>
        <w:rPr>
          <w:rFonts w:eastAsia="Times New Roman" w:cs="Times New Roman"/>
          <w:color w:val="000000"/>
          <w:sz w:val="20"/>
          <w:szCs w:val="20"/>
        </w:rPr>
      </w:pPr>
      <w:r>
        <w:rPr>
          <w:rFonts w:eastAsia="Times New Roman" w:cs="Times New Roman"/>
          <w:color w:val="000000"/>
          <w:sz w:val="20"/>
          <w:szCs w:val="20"/>
        </w:rPr>
        <w:t>Youngs, et al (1997)</w:t>
      </w:r>
    </w:p>
    <w:p w14:paraId="2693840F" w14:textId="77777777" w:rsidR="00CA20B8" w:rsidRDefault="003225D9">
      <w:pPr>
        <w:pStyle w:val="ListParagraph"/>
        <w:snapToGrid w:val="0"/>
        <w:spacing w:after="0" w:line="260" w:lineRule="auto"/>
        <w:ind w:left="0" w:firstLine="431"/>
        <w:jc w:val="both"/>
        <w:rPr>
          <w:rFonts w:eastAsia="Times New Roman" w:cs="Times New Roman"/>
          <w:color w:val="000000"/>
          <w:sz w:val="20"/>
          <w:szCs w:val="20"/>
        </w:rPr>
      </w:pPr>
      <w:r>
        <w:rPr>
          <w:rFonts w:eastAsia="Times New Roman" w:cs="Times New Roman"/>
          <w:color w:val="000000"/>
          <w:sz w:val="20"/>
          <w:szCs w:val="20"/>
        </w:rPr>
        <w:t>Attenuation models for</w:t>
      </w:r>
      <w:r>
        <w:rPr>
          <w:rFonts w:eastAsia="Times New Roman" w:cs="Times New Roman"/>
          <w:color w:val="000000"/>
          <w:sz w:val="20"/>
          <w:szCs w:val="20"/>
        </w:rPr>
        <w:t xml:space="preserve"> subduction zones can generally be divided into 2 (two) categories, namely earthquakes in the megathrust zone (interface) and in the Benioff zone (</w:t>
      </w:r>
      <w:proofErr w:type="spellStart"/>
      <w:r>
        <w:rPr>
          <w:rFonts w:eastAsia="Times New Roman" w:cs="Times New Roman"/>
          <w:color w:val="000000"/>
          <w:sz w:val="20"/>
          <w:szCs w:val="20"/>
        </w:rPr>
        <w:t>interslab</w:t>
      </w:r>
      <w:proofErr w:type="spellEnd"/>
      <w:r>
        <w:rPr>
          <w:rFonts w:eastAsia="Times New Roman" w:cs="Times New Roman"/>
          <w:color w:val="000000"/>
          <w:sz w:val="20"/>
          <w:szCs w:val="20"/>
        </w:rPr>
        <w:t>). The equation form of the attenuation function Youngs et al. that is:</w:t>
      </w:r>
    </w:p>
    <w:p w14:paraId="043DFFF4" w14:textId="77777777" w:rsidR="00CA20B8" w:rsidRDefault="003225D9">
      <w:pPr>
        <w:spacing w:after="0" w:line="240" w:lineRule="auto"/>
        <w:ind w:left="432" w:firstLine="432"/>
        <w:jc w:val="both"/>
        <w:rPr>
          <w:rFonts w:eastAsia="Times New Roman" w:cs="Times New Roman"/>
          <w:color w:val="000000"/>
          <w:sz w:val="20"/>
          <w:szCs w:val="20"/>
        </w:rPr>
      </w:pPr>
      <w:r>
        <w:rPr>
          <w:rFonts w:eastAsia="Times New Roman" w:cs="Times New Roman"/>
          <w:color w:val="000000"/>
          <w:sz w:val="20"/>
          <w:szCs w:val="20"/>
        </w:rPr>
        <w:t>ln (PGA) = 0.2418 + 1.414 MW</w:t>
      </w:r>
      <w:r>
        <w:rPr>
          <w:rFonts w:eastAsia="Times New Roman" w:cs="Times New Roman"/>
          <w:color w:val="000000"/>
          <w:sz w:val="20"/>
          <w:szCs w:val="20"/>
        </w:rPr>
        <w:t xml:space="preserve"> - 20552ln</w:t>
      </w:r>
    </w:p>
    <w:p w14:paraId="5990F893" w14:textId="77777777" w:rsidR="00CA20B8" w:rsidRDefault="003225D9">
      <w:pPr>
        <w:spacing w:after="0" w:line="240" w:lineRule="auto"/>
        <w:ind w:left="432" w:firstLine="432"/>
        <w:jc w:val="both"/>
        <w:rPr>
          <w:rFonts w:eastAsia="Times New Roman" w:cs="Times New Roman"/>
          <w:i/>
          <w:color w:val="000000"/>
          <w:sz w:val="20"/>
          <w:szCs w:val="20"/>
          <w:vertAlign w:val="subscript"/>
        </w:rPr>
      </w:pPr>
      <w:r>
        <w:rPr>
          <w:rFonts w:eastAsia="Times New Roman" w:cs="Times New Roman"/>
          <w:color w:val="000000"/>
          <w:sz w:val="20"/>
          <w:szCs w:val="20"/>
        </w:rPr>
        <w:t>[</w:t>
      </w:r>
      <w:proofErr w:type="spellStart"/>
      <w:r>
        <w:rPr>
          <w:rFonts w:eastAsia="Times New Roman" w:cs="Times New Roman"/>
          <w:color w:val="000000"/>
          <w:sz w:val="20"/>
          <w:szCs w:val="20"/>
        </w:rPr>
        <w:t>rrup</w:t>
      </w:r>
      <w:proofErr w:type="spellEnd"/>
      <w:r>
        <w:rPr>
          <w:rFonts w:eastAsia="Times New Roman" w:cs="Times New Roman"/>
          <w:color w:val="000000"/>
          <w:sz w:val="20"/>
          <w:szCs w:val="20"/>
        </w:rPr>
        <w:t xml:space="preserve"> + 1.7818e0.554Mw] + 0.00607 H + 0.3846Zt</w:t>
      </w:r>
      <w:r>
        <w:rPr>
          <w:rFonts w:eastAsia="Times New Roman" w:cs="Times New Roman"/>
          <w:color w:val="000000"/>
          <w:sz w:val="20"/>
          <w:szCs w:val="20"/>
        </w:rPr>
        <w:tab/>
      </w:r>
      <w:r>
        <w:rPr>
          <w:rFonts w:eastAsia="Times New Roman" w:cs="Times New Roman"/>
          <w:color w:val="000000"/>
          <w:sz w:val="20"/>
          <w:szCs w:val="20"/>
        </w:rPr>
        <w:tab/>
      </w:r>
      <w:r>
        <w:rPr>
          <w:rFonts w:eastAsia="Times New Roman" w:cs="Times New Roman"/>
          <w:color w:val="000000"/>
          <w:sz w:val="20"/>
          <w:szCs w:val="20"/>
        </w:rPr>
        <w:tab/>
      </w:r>
      <w:r>
        <w:rPr>
          <w:rFonts w:eastAsia="Times New Roman" w:cs="Times New Roman"/>
          <w:color w:val="000000"/>
          <w:sz w:val="20"/>
          <w:szCs w:val="20"/>
        </w:rPr>
        <w:tab/>
      </w:r>
      <w:r>
        <w:rPr>
          <w:rFonts w:eastAsia="Times New Roman" w:cs="Times New Roman"/>
          <w:color w:val="000000"/>
          <w:sz w:val="20"/>
          <w:szCs w:val="20"/>
        </w:rPr>
        <w:tab/>
        <w:t>(3)</w:t>
      </w:r>
    </w:p>
    <w:p w14:paraId="299CFD70" w14:textId="77777777" w:rsidR="00CA20B8" w:rsidRDefault="00CA20B8">
      <w:pPr>
        <w:spacing w:after="0" w:line="240" w:lineRule="auto"/>
        <w:ind w:left="432" w:firstLine="432"/>
        <w:jc w:val="both"/>
        <w:rPr>
          <w:rFonts w:eastAsia="Times New Roman" w:cs="Times New Roman"/>
          <w:i/>
          <w:color w:val="000000"/>
          <w:sz w:val="20"/>
          <w:szCs w:val="20"/>
          <w:vertAlign w:val="subscript"/>
        </w:rPr>
      </w:pPr>
    </w:p>
    <w:p w14:paraId="06B389F5" w14:textId="30727EF8" w:rsidR="00CA20B8" w:rsidRDefault="003225D9">
      <w:pPr>
        <w:pStyle w:val="ListParagraph"/>
        <w:snapToGrid w:val="0"/>
        <w:spacing w:after="0" w:line="260" w:lineRule="auto"/>
        <w:ind w:left="0" w:firstLine="431"/>
        <w:jc w:val="both"/>
        <w:rPr>
          <w:rFonts w:eastAsia="Times New Roman" w:cs="Times New Roman"/>
          <w:sz w:val="20"/>
          <w:szCs w:val="20"/>
        </w:rPr>
      </w:pPr>
      <w:r>
        <w:rPr>
          <w:rFonts w:eastAsia="Times New Roman" w:cs="Times New Roman"/>
          <w:sz w:val="20"/>
          <w:szCs w:val="20"/>
        </w:rPr>
        <w:t xml:space="preserve">From </w:t>
      </w:r>
      <w:r>
        <w:rPr>
          <w:rFonts w:eastAsia="Times New Roman" w:cs="Times New Roman"/>
          <w:color w:val="000000"/>
          <w:sz w:val="20"/>
          <w:szCs w:val="20"/>
        </w:rPr>
        <w:t xml:space="preserve">Equality </w:t>
      </w:r>
      <w:r>
        <w:rPr>
          <w:rFonts w:eastAsia="Times New Roman" w:cs="Times New Roman"/>
          <w:sz w:val="20"/>
          <w:szCs w:val="20"/>
        </w:rPr>
        <w:t xml:space="preserve">Youngs, et al (1997) obtained the value of ground acceleration. Where PGA is Peak Ground Acceleration (g), Mw is the moment magnitude, </w:t>
      </w:r>
      <w:proofErr w:type="spellStart"/>
      <w:r>
        <w:rPr>
          <w:rFonts w:eastAsia="Times New Roman" w:cs="Times New Roman"/>
          <w:sz w:val="20"/>
          <w:szCs w:val="20"/>
        </w:rPr>
        <w:t>rrup</w:t>
      </w:r>
      <w:proofErr w:type="spellEnd"/>
      <w:r>
        <w:rPr>
          <w:rFonts w:eastAsia="Times New Roman" w:cs="Times New Roman"/>
          <w:sz w:val="20"/>
          <w:szCs w:val="20"/>
        </w:rPr>
        <w:t xml:space="preserve"> is the closest distance to rupture (Km), H is the depth (Km) and </w:t>
      </w:r>
      <w:proofErr w:type="spellStart"/>
      <w:r>
        <w:rPr>
          <w:rFonts w:eastAsia="Times New Roman" w:cs="Times New Roman"/>
          <w:sz w:val="20"/>
          <w:szCs w:val="20"/>
        </w:rPr>
        <w:t>Zt</w:t>
      </w:r>
      <w:proofErr w:type="spellEnd"/>
      <w:r>
        <w:rPr>
          <w:rFonts w:eastAsia="Times New Roman" w:cs="Times New Roman"/>
          <w:sz w:val="20"/>
          <w:szCs w:val="20"/>
        </w:rPr>
        <w:t xml:space="preserve"> is the type of earthquake source (0 for interfac</w:t>
      </w:r>
      <w:r>
        <w:rPr>
          <w:rFonts w:eastAsia="Times New Roman" w:cs="Times New Roman"/>
          <w:sz w:val="20"/>
          <w:szCs w:val="20"/>
        </w:rPr>
        <w:t xml:space="preserve">e and 1 for </w:t>
      </w:r>
      <w:proofErr w:type="spellStart"/>
      <w:r>
        <w:rPr>
          <w:rFonts w:eastAsia="Times New Roman" w:cs="Times New Roman"/>
          <w:sz w:val="20"/>
          <w:szCs w:val="20"/>
        </w:rPr>
        <w:t>interslab</w:t>
      </w:r>
      <w:proofErr w:type="spellEnd"/>
      <w:r>
        <w:rPr>
          <w:rFonts w:eastAsia="Times New Roman" w:cs="Times New Roman"/>
          <w:sz w:val="20"/>
          <w:szCs w:val="20"/>
        </w:rPr>
        <w:t xml:space="preserve">) </w:t>
      </w:r>
      <w:r>
        <w:rPr>
          <w:rFonts w:eastAsia="Times New Roman" w:cs="Times New Roman"/>
          <w:sz w:val="20"/>
          <w:szCs w:val="20"/>
        </w:rPr>
        <w:fldChar w:fldCharType="begin"/>
      </w:r>
      <w:r>
        <w:rPr>
          <w:rFonts w:eastAsia="Times New Roman" w:cs="Times New Roman"/>
          <w:sz w:val="20"/>
          <w:szCs w:val="20"/>
        </w:rPr>
        <w:instrText>ADDIN CSL_CITATION {"citationItems":[{"id":"ITEM-1","itemData":{"author":[{"dropping-particle":"","family":"Tribe","given":"John Laka","non-dropping-particle":"","parse-names":false,"suffix":""}],"id":"ITEM-1","issued":{"date-parts":</w:instrText>
      </w:r>
      <w:r>
        <w:rPr>
          <w:rFonts w:eastAsia="Times New Roman" w:cs="Times New Roman"/>
          <w:sz w:val="20"/>
          <w:szCs w:val="20"/>
        </w:rPr>
        <w:instrText>[["2014"]]},"title":"Earthquake Risk Probabilistic Analysis (Probabilistic Seismic Hazard Analysis) in Ende City Based on Joyner-Boore Dan Youngs Attenuation Function.","type":"book"},"uris":["http://www.mendeley.com/documents/?uuid=54023c7c-1c7d-4165-9368</w:instrText>
      </w:r>
      <w:r>
        <w:rPr>
          <w:rFonts w:eastAsia="Times New Roman" w:cs="Times New Roman"/>
          <w:sz w:val="20"/>
          <w:szCs w:val="20"/>
        </w:rPr>
        <w:instrText>-b13a8a552133"]}],"mendeley":{"formattedCitation":"[11]","plainTextFormattedCitation":"[11]","previouslyFormattedCitation":"[11]"},"properties":{"noteIndex":0},"schema":"https://github.com/citation-style-language/schema/raw/master/csl-citation.json"}</w:instrText>
      </w:r>
      <w:r>
        <w:rPr>
          <w:rFonts w:eastAsia="Times New Roman" w:cs="Times New Roman"/>
          <w:sz w:val="20"/>
          <w:szCs w:val="20"/>
        </w:rPr>
        <w:fldChar w:fldCharType="separate"/>
      </w:r>
      <w:r>
        <w:rPr>
          <w:rFonts w:eastAsia="Times New Roman" w:cs="Times New Roman"/>
          <w:sz w:val="20"/>
          <w:szCs w:val="20"/>
        </w:rPr>
        <w:t>[1</w:t>
      </w:r>
      <w:r w:rsidR="00706832">
        <w:rPr>
          <w:rFonts w:eastAsia="Times New Roman" w:cs="Times New Roman"/>
          <w:sz w:val="20"/>
          <w:szCs w:val="20"/>
        </w:rPr>
        <w:t>2</w:t>
      </w:r>
      <w:r>
        <w:rPr>
          <w:rFonts w:eastAsia="Times New Roman" w:cs="Times New Roman"/>
          <w:sz w:val="20"/>
          <w:szCs w:val="20"/>
        </w:rPr>
        <w:t>]</w:t>
      </w:r>
      <w:r>
        <w:rPr>
          <w:rFonts w:eastAsia="Times New Roman" w:cs="Times New Roman"/>
          <w:sz w:val="20"/>
          <w:szCs w:val="20"/>
        </w:rPr>
        <w:fldChar w:fldCharType="end"/>
      </w:r>
      <w:r>
        <w:rPr>
          <w:rFonts w:eastAsia="Times New Roman" w:cs="Times New Roman"/>
          <w:sz w:val="20"/>
          <w:szCs w:val="20"/>
        </w:rPr>
        <w:t>.</w:t>
      </w:r>
    </w:p>
    <w:p w14:paraId="30C02E6F" w14:textId="77777777" w:rsidR="00CA20B8" w:rsidRDefault="00CA20B8">
      <w:pPr>
        <w:pStyle w:val="IJASEITParagraph"/>
        <w:ind w:firstLine="426"/>
        <w:rPr>
          <w:b/>
          <w:color w:val="FF0000"/>
          <w:sz w:val="24"/>
          <w:lang w:val="id-ID"/>
        </w:rPr>
      </w:pPr>
    </w:p>
    <w:p w14:paraId="57C2152A" w14:textId="77777777" w:rsidR="00CA20B8" w:rsidRDefault="003225D9">
      <w:pPr>
        <w:pStyle w:val="Heading1"/>
        <w:numPr>
          <w:ilvl w:val="0"/>
          <w:numId w:val="5"/>
        </w:numPr>
        <w:spacing w:before="240" w:after="240" w:line="276" w:lineRule="auto"/>
        <w:ind w:left="0" w:firstLine="0"/>
        <w:jc w:val="left"/>
        <w:rPr>
          <w:bCs/>
          <w:sz w:val="21"/>
          <w:lang w:val="id-ID"/>
        </w:rPr>
      </w:pPr>
      <w:r>
        <w:rPr>
          <w:bCs/>
          <w:sz w:val="21"/>
          <w:lang w:val="id-ID"/>
        </w:rPr>
        <w:t>ME</w:t>
      </w:r>
      <w:r>
        <w:rPr>
          <w:bCs/>
          <w:sz w:val="21"/>
        </w:rPr>
        <w:t>THOD</w:t>
      </w:r>
      <w:r>
        <w:rPr>
          <w:bCs/>
          <w:sz w:val="21"/>
          <w:lang w:val="id-ID"/>
        </w:rPr>
        <w:t xml:space="preserve"> </w:t>
      </w:r>
    </w:p>
    <w:p w14:paraId="4BB2D8FA" w14:textId="77777777" w:rsidR="00CA20B8" w:rsidRDefault="003225D9">
      <w:pPr>
        <w:pStyle w:val="ListParagraph"/>
        <w:snapToGrid w:val="0"/>
        <w:spacing w:after="0" w:line="260" w:lineRule="auto"/>
        <w:ind w:left="0" w:firstLine="431"/>
        <w:jc w:val="both"/>
        <w:rPr>
          <w:rFonts w:eastAsia="Times New Roman" w:cs="Times New Roman"/>
          <w:sz w:val="20"/>
          <w:szCs w:val="20"/>
        </w:rPr>
      </w:pPr>
      <w:r>
        <w:rPr>
          <w:rFonts w:eastAsia="Times New Roman" w:cs="Times New Roman"/>
          <w:sz w:val="20"/>
          <w:szCs w:val="20"/>
        </w:rPr>
        <w:t xml:space="preserve">Data earthquake This research was obtained from the website of the National Earthquake Information Center US Geological Surveys (NEIC/USGS) that occurred in the period 1950 - 2021. Data </w:t>
      </w:r>
      <w:proofErr w:type="spellStart"/>
      <w:r>
        <w:rPr>
          <w:rFonts w:eastAsia="Times New Roman" w:cs="Times New Roman"/>
          <w:sz w:val="20"/>
          <w:szCs w:val="20"/>
        </w:rPr>
        <w:t>that</w:t>
      </w:r>
      <w:r>
        <w:rPr>
          <w:rFonts w:eastAsia="Times New Roman" w:cs="Times New Roman"/>
          <w:iCs/>
          <w:color w:val="000000"/>
          <w:sz w:val="20"/>
          <w:szCs w:val="20"/>
        </w:rPr>
        <w:t>obtained</w:t>
      </w:r>
      <w:proofErr w:type="spellEnd"/>
      <w:r>
        <w:rPr>
          <w:rFonts w:eastAsia="Times New Roman" w:cs="Times New Roman"/>
          <w:i/>
          <w:color w:val="000000"/>
          <w:sz w:val="20"/>
          <w:szCs w:val="20"/>
        </w:rPr>
        <w:t xml:space="preserve"> </w:t>
      </w:r>
      <w:r>
        <w:rPr>
          <w:rFonts w:eastAsia="Times New Roman" w:cs="Times New Roman"/>
          <w:sz w:val="20"/>
          <w:szCs w:val="20"/>
        </w:rPr>
        <w:t xml:space="preserve">then transferred to Excel 2010 in accordance </w:t>
      </w:r>
      <w:r>
        <w:rPr>
          <w:rFonts w:eastAsia="Times New Roman" w:cs="Times New Roman"/>
          <w:sz w:val="20"/>
          <w:szCs w:val="20"/>
        </w:rPr>
        <w:t>with the data format, namely latitude, longitude, magnitude, depth, time of the earthquake.</w:t>
      </w:r>
    </w:p>
    <w:p w14:paraId="273ADE2A" w14:textId="77777777" w:rsidR="00CA20B8" w:rsidRDefault="003225D9">
      <w:pPr>
        <w:pStyle w:val="ListParagraph"/>
        <w:snapToGrid w:val="0"/>
        <w:spacing w:after="0" w:line="260" w:lineRule="auto"/>
        <w:ind w:left="0" w:firstLine="431"/>
        <w:jc w:val="both"/>
        <w:rPr>
          <w:rFonts w:eastAsia="Times New Roman" w:cs="Times New Roman"/>
          <w:color w:val="000000"/>
          <w:sz w:val="20"/>
          <w:szCs w:val="20"/>
        </w:rPr>
      </w:pPr>
      <w:r>
        <w:rPr>
          <w:rFonts w:eastAsia="Times New Roman" w:cs="Times New Roman"/>
          <w:sz w:val="20"/>
          <w:szCs w:val="20"/>
        </w:rPr>
        <w:t>The data is then processed and modeled according to the standards required in the analyzed area, and calculations are carried out using certain methods to obtain th</w:t>
      </w:r>
      <w:r>
        <w:rPr>
          <w:rFonts w:eastAsia="Times New Roman" w:cs="Times New Roman"/>
          <w:sz w:val="20"/>
          <w:szCs w:val="20"/>
        </w:rPr>
        <w:t xml:space="preserve">e parameter value of b, maximum magnitude, slip rate, which is in accordance with the research area.. </w:t>
      </w:r>
      <w:r>
        <w:rPr>
          <w:rFonts w:eastAsia="Times New Roman" w:cs="Times New Roman"/>
          <w:color w:val="000000"/>
          <w:sz w:val="20"/>
          <w:szCs w:val="20"/>
        </w:rPr>
        <w:t xml:space="preserve">In this study, it has different magnitude scales such as Mb and </w:t>
      </w:r>
      <w:proofErr w:type="spellStart"/>
      <w:r>
        <w:rPr>
          <w:rFonts w:eastAsia="Times New Roman" w:cs="Times New Roman"/>
          <w:color w:val="000000"/>
          <w:sz w:val="20"/>
          <w:szCs w:val="20"/>
        </w:rPr>
        <w:t>Ms</w:t>
      </w:r>
      <w:proofErr w:type="spellEnd"/>
      <w:r>
        <w:rPr>
          <w:rFonts w:eastAsia="Times New Roman" w:cs="Times New Roman"/>
          <w:color w:val="000000"/>
          <w:sz w:val="20"/>
          <w:szCs w:val="20"/>
        </w:rPr>
        <w:t xml:space="preserve">, so it must be converted to moment magnitude (Mw) before being carried out. </w:t>
      </w:r>
      <w:r>
        <w:rPr>
          <w:rFonts w:eastAsia="Times New Roman" w:cs="Times New Roman"/>
          <w:sz w:val="20"/>
          <w:szCs w:val="20"/>
        </w:rPr>
        <w:t>analysis</w:t>
      </w:r>
      <w:r>
        <w:rPr>
          <w:rFonts w:eastAsia="Times New Roman" w:cs="Times New Roman"/>
          <w:color w:val="000000"/>
          <w:sz w:val="20"/>
          <w:szCs w:val="20"/>
        </w:rPr>
        <w:t>.</w:t>
      </w:r>
    </w:p>
    <w:p w14:paraId="1869C7F4" w14:textId="78462F32" w:rsidR="00CA20B8" w:rsidRDefault="003225D9">
      <w:pPr>
        <w:pStyle w:val="ListParagraph"/>
        <w:snapToGrid w:val="0"/>
        <w:spacing w:after="0" w:line="260" w:lineRule="auto"/>
        <w:ind w:left="0" w:firstLine="431"/>
        <w:jc w:val="both"/>
        <w:rPr>
          <w:rFonts w:eastAsia="Times New Roman" w:cs="Times New Roman"/>
          <w:color w:val="000000"/>
          <w:sz w:val="20"/>
          <w:szCs w:val="20"/>
        </w:rPr>
      </w:pPr>
      <w:r>
        <w:rPr>
          <w:rFonts w:eastAsia="Times New Roman" w:cs="Times New Roman"/>
          <w:color w:val="000000"/>
          <w:sz w:val="20"/>
          <w:szCs w:val="20"/>
        </w:rPr>
        <w:t>T</w:t>
      </w:r>
      <w:r>
        <w:rPr>
          <w:rFonts w:eastAsia="Times New Roman" w:cs="Times New Roman"/>
          <w:color w:val="000000"/>
          <w:sz w:val="20"/>
          <w:szCs w:val="20"/>
        </w:rPr>
        <w:t>he next stage after the data is converted is to identify the source of the earthquake. Identification of earthquake sources is carried out to model the earthquake sources used, with certain parameters based on geological, geophysical, and geological condit</w:t>
      </w:r>
      <w:r>
        <w:rPr>
          <w:rFonts w:eastAsia="Times New Roman" w:cs="Times New Roman"/>
          <w:color w:val="000000"/>
          <w:sz w:val="20"/>
          <w:szCs w:val="20"/>
        </w:rPr>
        <w:t xml:space="preserve">ions. </w:t>
      </w:r>
      <w:r>
        <w:rPr>
          <w:rFonts w:eastAsia="Times New Roman" w:cs="Times New Roman"/>
          <w:sz w:val="20"/>
          <w:szCs w:val="20"/>
        </w:rPr>
        <w:t xml:space="preserve">seismotectonic </w:t>
      </w:r>
      <w:r>
        <w:rPr>
          <w:rFonts w:eastAsia="Times New Roman" w:cs="Times New Roman"/>
          <w:sz w:val="20"/>
          <w:szCs w:val="20"/>
        </w:rPr>
        <w:fldChar w:fldCharType="begin"/>
      </w:r>
      <w:r>
        <w:rPr>
          <w:rFonts w:eastAsia="Times New Roman" w:cs="Times New Roman"/>
          <w:sz w:val="20"/>
          <w:szCs w:val="20"/>
        </w:rPr>
        <w:instrText>ADDIN CSL_CITATION {"citationItems":[{"id":"ITEM-1","itemData":{"author":[{"dropping-particle":"","family":"Purbadini","given":"P. Dan Bambang.","non-dropping-particle":"","parse-names":false,"suffix":""}],"container-title":"Journal of</w:instrText>
      </w:r>
      <w:r>
        <w:rPr>
          <w:rFonts w:eastAsia="Times New Roman" w:cs="Times New Roman"/>
          <w:sz w:val="20"/>
          <w:szCs w:val="20"/>
        </w:rPr>
        <w:instrText xml:space="preserve"> Science and Arts","id":"ITEM-1","issued":{"date-parts":[["2017"]]},"title":"Analysis of Seismic Hazards in the Malang Region Using a Probabilistic Approach. ITS","type":"article-journal","volume":"6"},"uris":["http://www.mendeley.com/documents/?uuid=772d8</w:instrText>
      </w:r>
      <w:r>
        <w:rPr>
          <w:rFonts w:eastAsia="Times New Roman" w:cs="Times New Roman"/>
          <w:sz w:val="20"/>
          <w:szCs w:val="20"/>
        </w:rPr>
        <w:instrText>8b0-c5a4-4d41-8e5e-106118ec0c20"]}],"mendeley":{"formattedCitation":"[12]","plainTextFormattedCitation":"[12]","previouslyFormattedCitation":"[12]"},"properties":{"noteIndex":0},"schema":"https://github.com/citation-style-language/schema/raw/master/csl-cit</w:instrText>
      </w:r>
      <w:r>
        <w:rPr>
          <w:rFonts w:eastAsia="Times New Roman" w:cs="Times New Roman"/>
          <w:sz w:val="20"/>
          <w:szCs w:val="20"/>
        </w:rPr>
        <w:instrText>ation.json"}</w:instrText>
      </w:r>
      <w:r>
        <w:rPr>
          <w:rFonts w:eastAsia="Times New Roman" w:cs="Times New Roman"/>
          <w:sz w:val="20"/>
          <w:szCs w:val="20"/>
        </w:rPr>
        <w:fldChar w:fldCharType="separate"/>
      </w:r>
      <w:r>
        <w:rPr>
          <w:rFonts w:eastAsia="Times New Roman" w:cs="Times New Roman"/>
          <w:sz w:val="20"/>
          <w:szCs w:val="20"/>
        </w:rPr>
        <w:t>[1</w:t>
      </w:r>
      <w:r w:rsidR="00706832">
        <w:rPr>
          <w:rFonts w:eastAsia="Times New Roman" w:cs="Times New Roman"/>
          <w:sz w:val="20"/>
          <w:szCs w:val="20"/>
        </w:rPr>
        <w:t>3</w:t>
      </w:r>
      <w:r>
        <w:rPr>
          <w:rFonts w:eastAsia="Times New Roman" w:cs="Times New Roman"/>
          <w:sz w:val="20"/>
          <w:szCs w:val="20"/>
        </w:rPr>
        <w:t>]</w:t>
      </w:r>
      <w:r>
        <w:rPr>
          <w:rFonts w:eastAsia="Times New Roman" w:cs="Times New Roman"/>
          <w:sz w:val="20"/>
          <w:szCs w:val="20"/>
        </w:rPr>
        <w:fldChar w:fldCharType="end"/>
      </w:r>
      <w:r>
        <w:rPr>
          <w:rFonts w:eastAsia="Times New Roman" w:cs="Times New Roman"/>
          <w:sz w:val="20"/>
          <w:szCs w:val="20"/>
        </w:rPr>
        <w:t xml:space="preserve">. </w:t>
      </w:r>
      <w:r>
        <w:rPr>
          <w:rFonts w:eastAsia="Times New Roman" w:cs="Times New Roman"/>
          <w:color w:val="000000"/>
          <w:sz w:val="20"/>
          <w:szCs w:val="20"/>
        </w:rPr>
        <w:t>The earthquake source consists of several classifications, the geometry of the earthquake source in the form of strike direction, dip angle, and depth is needed in the study, and the mechanism of the earthquake source is also needed fo</w:t>
      </w:r>
      <w:r>
        <w:rPr>
          <w:rFonts w:eastAsia="Times New Roman" w:cs="Times New Roman"/>
          <w:color w:val="000000"/>
          <w:sz w:val="20"/>
          <w:szCs w:val="20"/>
        </w:rPr>
        <w:t>r identification.</w:t>
      </w:r>
    </w:p>
    <w:p w14:paraId="2D289530" w14:textId="77777777" w:rsidR="00CA20B8" w:rsidRDefault="003225D9">
      <w:pPr>
        <w:pStyle w:val="ListParagraph"/>
        <w:snapToGrid w:val="0"/>
        <w:spacing w:after="0" w:line="260" w:lineRule="auto"/>
        <w:ind w:left="0" w:firstLine="431"/>
        <w:jc w:val="both"/>
        <w:rPr>
          <w:szCs w:val="18"/>
        </w:rPr>
      </w:pPr>
      <w:r>
        <w:rPr>
          <w:rFonts w:eastAsia="Times New Roman" w:cs="Times New Roman"/>
          <w:color w:val="000000"/>
          <w:sz w:val="20"/>
          <w:szCs w:val="15"/>
        </w:rPr>
        <w:t xml:space="preserve">The converted data is then inputted into ZMAP to obtain parameter values of a-value and b-value using MATLAB software. After the ab value parameter is obtained, it can directly process seismic hazard data using the PSHA USGS 2017 </w:t>
      </w:r>
      <w:r>
        <w:rPr>
          <w:rFonts w:eastAsia="Times New Roman" w:cs="Times New Roman"/>
          <w:color w:val="000000"/>
          <w:sz w:val="20"/>
          <w:szCs w:val="15"/>
        </w:rPr>
        <w:t xml:space="preserve">software. The final result of data processing from the 2017 USGS is then used to create a seismic hazard distribution map using </w:t>
      </w:r>
      <w:proofErr w:type="spellStart"/>
      <w:r>
        <w:rPr>
          <w:rFonts w:eastAsia="Times New Roman" w:cs="Times New Roman"/>
          <w:color w:val="000000"/>
          <w:sz w:val="20"/>
          <w:szCs w:val="15"/>
        </w:rPr>
        <w:t>ArcGis</w:t>
      </w:r>
      <w:proofErr w:type="spellEnd"/>
      <w:r>
        <w:rPr>
          <w:rFonts w:eastAsia="Times New Roman" w:cs="Times New Roman"/>
          <w:color w:val="000000"/>
          <w:sz w:val="20"/>
          <w:szCs w:val="15"/>
        </w:rPr>
        <w:t xml:space="preserve"> 10.8 software.</w:t>
      </w:r>
      <w:r>
        <w:rPr>
          <w:rFonts w:eastAsia="SimSun" w:cs="Times New Roman"/>
          <w:szCs w:val="24"/>
        </w:rPr>
        <w:br/>
      </w:r>
    </w:p>
    <w:p w14:paraId="08F01919" w14:textId="77777777" w:rsidR="00CA20B8" w:rsidRDefault="003225D9">
      <w:pPr>
        <w:pStyle w:val="Heading1"/>
        <w:numPr>
          <w:ilvl w:val="0"/>
          <w:numId w:val="5"/>
        </w:numPr>
        <w:spacing w:before="240" w:after="240" w:line="276" w:lineRule="auto"/>
        <w:ind w:left="0" w:firstLine="0"/>
        <w:jc w:val="left"/>
        <w:rPr>
          <w:bCs/>
          <w:sz w:val="21"/>
        </w:rPr>
      </w:pPr>
      <w:r>
        <w:rPr>
          <w:bCs/>
          <w:sz w:val="21"/>
        </w:rPr>
        <w:t>RESULTS AND DISCUSSION</w:t>
      </w:r>
    </w:p>
    <w:p w14:paraId="7DFF9292" w14:textId="77777777" w:rsidR="00CA20B8" w:rsidRDefault="003225D9">
      <w:pPr>
        <w:pStyle w:val="ListParagraph"/>
        <w:snapToGrid w:val="0"/>
        <w:spacing w:after="0" w:line="260" w:lineRule="auto"/>
        <w:ind w:left="0" w:firstLine="431"/>
        <w:jc w:val="both"/>
        <w:rPr>
          <w:color w:val="000000"/>
          <w:sz w:val="20"/>
          <w:szCs w:val="20"/>
          <w:lang w:val="id-ID"/>
        </w:rPr>
      </w:pPr>
      <w:r>
        <w:rPr>
          <w:rFonts w:eastAsia="Times New Roman" w:cs="Times New Roman"/>
          <w:color w:val="000000"/>
          <w:sz w:val="20"/>
          <w:szCs w:val="20"/>
        </w:rPr>
        <w:t xml:space="preserve">Earthquake data used in this study is a significant earthquake that occurred in </w:t>
      </w:r>
      <w:r>
        <w:rPr>
          <w:rFonts w:eastAsia="Times New Roman" w:cs="Times New Roman"/>
          <w:sz w:val="20"/>
          <w:szCs w:val="20"/>
        </w:rPr>
        <w:t>period</w:t>
      </w:r>
      <w:r>
        <w:rPr>
          <w:rFonts w:eastAsia="Times New Roman" w:cs="Times New Roman"/>
          <w:color w:val="000000"/>
          <w:sz w:val="20"/>
          <w:szCs w:val="20"/>
        </w:rPr>
        <w:t xml:space="preserve"> 1950 – 2021 with an earthquake magnitude </w:t>
      </w:r>
      <w:r>
        <w:rPr>
          <w:rFonts w:eastAsia="Times New Roman" w:cs="Times New Roman"/>
          <w:color w:val="000000"/>
          <w:sz w:val="20"/>
          <w:szCs w:val="15"/>
        </w:rPr>
        <w:t xml:space="preserve">parameter </w:t>
      </w:r>
      <w:r>
        <w:rPr>
          <w:rFonts w:eastAsia="Times New Roman" w:cs="Times New Roman"/>
          <w:color w:val="000000"/>
          <w:sz w:val="20"/>
          <w:szCs w:val="20"/>
        </w:rPr>
        <w:t>of magnitude M</w:t>
      </w:r>
      <w:r>
        <w:rPr>
          <w:rFonts w:eastAsia="Times New Roman" w:cs="Times New Roman"/>
          <w:color w:val="000000"/>
          <w:sz w:val="20"/>
          <w:szCs w:val="20"/>
        </w:rPr>
        <w:t xml:space="preserve"> </w:t>
      </w:r>
      <w:sdt>
        <w:sdtPr>
          <w:rPr>
            <w:rFonts w:cs="Times New Roman"/>
            <w:sz w:val="20"/>
            <w:szCs w:val="20"/>
          </w:rPr>
          <w:tag w:val="goog_rdk_1"/>
          <w:id w:val="9"/>
        </w:sdtPr>
        <w:sdtEndPr/>
        <w:sdtContent>
          <w:r>
            <w:rPr>
              <w:rFonts w:eastAsia="Arial Unicode MS" w:cs="Times New Roman"/>
              <w:color w:val="000000"/>
              <w:sz w:val="20"/>
              <w:szCs w:val="20"/>
            </w:rPr>
            <w:t>≥</w:t>
          </w:r>
        </w:sdtContent>
      </w:sdt>
      <w:r>
        <w:rPr>
          <w:rFonts w:eastAsia="Times New Roman" w:cs="Times New Roman"/>
          <w:color w:val="000000"/>
          <w:sz w:val="20"/>
          <w:szCs w:val="20"/>
        </w:rPr>
        <w:t xml:space="preserve"> </w:t>
      </w:r>
      <w:r>
        <w:rPr>
          <w:rFonts w:eastAsia="Times New Roman" w:cs="Times New Roman"/>
          <w:color w:val="000000"/>
          <w:sz w:val="20"/>
          <w:szCs w:val="20"/>
        </w:rPr>
        <w:t xml:space="preserve">5.0 SR and sourced from the US National Earthquakes Information Center catalog </w:t>
      </w:r>
      <w:r>
        <w:rPr>
          <w:rFonts w:eastAsia="Times New Roman" w:cs="Times New Roman"/>
          <w:i/>
          <w:sz w:val="20"/>
          <w:szCs w:val="20"/>
        </w:rPr>
        <w:t>Geological</w:t>
      </w:r>
      <w:r>
        <w:rPr>
          <w:rFonts w:eastAsia="Times New Roman" w:cs="Times New Roman"/>
          <w:i/>
          <w:color w:val="000000"/>
          <w:sz w:val="20"/>
          <w:szCs w:val="20"/>
        </w:rPr>
        <w:t xml:space="preserve"> survey (N</w:t>
      </w:r>
      <w:r>
        <w:rPr>
          <w:rFonts w:eastAsia="Times New Roman" w:cs="Times New Roman"/>
          <w:i/>
          <w:color w:val="000000"/>
          <w:sz w:val="20"/>
          <w:szCs w:val="20"/>
        </w:rPr>
        <w:t>EIC/USGS)</w:t>
      </w:r>
      <w:r>
        <w:rPr>
          <w:rFonts w:eastAsia="Times New Roman" w:cs="Times New Roman"/>
          <w:color w:val="000000"/>
          <w:sz w:val="20"/>
          <w:szCs w:val="20"/>
        </w:rPr>
        <w:t xml:space="preserve"> and International </w:t>
      </w:r>
      <w:r>
        <w:rPr>
          <w:rFonts w:eastAsia="Times New Roman" w:cs="Times New Roman"/>
          <w:i/>
          <w:sz w:val="20"/>
          <w:szCs w:val="20"/>
        </w:rPr>
        <w:t>Seismological</w:t>
      </w:r>
      <w:r>
        <w:rPr>
          <w:rFonts w:eastAsia="Times New Roman" w:cs="Times New Roman"/>
          <w:i/>
          <w:color w:val="000000"/>
          <w:sz w:val="20"/>
          <w:szCs w:val="20"/>
        </w:rPr>
        <w:t xml:space="preserve"> Center (ISC) </w:t>
      </w:r>
      <w:r>
        <w:rPr>
          <w:rFonts w:eastAsia="Times New Roman" w:cs="Times New Roman"/>
          <w:color w:val="000000"/>
          <w:sz w:val="20"/>
          <w:szCs w:val="20"/>
        </w:rPr>
        <w:t xml:space="preserve"> period 1950 to 2021. Region  research is in Mentawai Islands at coordinates (98.547° East – 100.767° East and -3.579° N - 0.89° South Latitude). </w:t>
      </w:r>
      <w:r>
        <w:rPr>
          <w:rFonts w:eastAsia="Times New Roman" w:cs="Times New Roman"/>
          <w:sz w:val="20"/>
          <w:szCs w:val="20"/>
        </w:rPr>
        <w:t>The results obtained from this study are data processin</w:t>
      </w:r>
      <w:r>
        <w:rPr>
          <w:rFonts w:eastAsia="Times New Roman" w:cs="Times New Roman"/>
          <w:sz w:val="20"/>
          <w:szCs w:val="20"/>
        </w:rPr>
        <w:t>g using the PSHA - USGS 2017 software.</w:t>
      </w:r>
    </w:p>
    <w:p w14:paraId="2BAA5D28" w14:textId="77777777" w:rsidR="00CA20B8" w:rsidRDefault="003225D9">
      <w:pPr>
        <w:spacing w:after="0"/>
        <w:ind w:firstLine="432"/>
        <w:jc w:val="both"/>
        <w:rPr>
          <w:rFonts w:eastAsia="Times New Roman" w:cs="Times New Roman"/>
          <w:color w:val="000000"/>
          <w:sz w:val="20"/>
          <w:szCs w:val="20"/>
        </w:rPr>
      </w:pPr>
      <w:r>
        <w:rPr>
          <w:rFonts w:eastAsia="Times New Roman" w:cs="Times New Roman"/>
          <w:color w:val="000000"/>
          <w:sz w:val="20"/>
          <w:szCs w:val="20"/>
        </w:rPr>
        <w:lastRenderedPageBreak/>
        <w:t xml:space="preserve">The final result from This data processing is in the form of a contour map of the maximum PGA value in the </w:t>
      </w:r>
      <w:r>
        <w:rPr>
          <w:rFonts w:eastAsia="Times New Roman" w:cs="Times New Roman"/>
          <w:color w:val="000000"/>
          <w:sz w:val="20"/>
          <w:szCs w:val="20"/>
        </w:rPr>
        <w:t>bedrock of the Mentawai region. Processing with the PSHA method produces three contour maps of PGA values, namely a map of the maximum soil acceleration in bedrock in a period of 0 seconds (T = 0 s), a period of 0.2 seconds (T = 0.2 s), and a period of 1 s</w:t>
      </w:r>
      <w:r>
        <w:rPr>
          <w:rFonts w:eastAsia="Times New Roman" w:cs="Times New Roman"/>
          <w:color w:val="000000"/>
          <w:sz w:val="20"/>
          <w:szCs w:val="20"/>
        </w:rPr>
        <w:t>econd (T = 1 s). with a probability of exceeding 10% in 50 years or an earthquake return period of 50 years at the age of the building.</w:t>
      </w:r>
    </w:p>
    <w:p w14:paraId="41C48712" w14:textId="77777777" w:rsidR="00CA20B8" w:rsidRDefault="003225D9">
      <w:pPr>
        <w:spacing w:after="0"/>
        <w:ind w:firstLine="432"/>
        <w:jc w:val="both"/>
        <w:rPr>
          <w:rFonts w:eastAsia="Times New Roman" w:cs="Times New Roman"/>
          <w:color w:val="000000"/>
          <w:sz w:val="20"/>
          <w:szCs w:val="20"/>
        </w:rPr>
      </w:pPr>
      <w:r>
        <w:rPr>
          <w:rFonts w:eastAsia="Times New Roman" w:cs="Times New Roman"/>
          <w:color w:val="000000"/>
          <w:sz w:val="20"/>
          <w:szCs w:val="20"/>
        </w:rPr>
        <w:t xml:space="preserve">The result of acceleration in bedrock at T = 0 seconds with </w:t>
      </w:r>
      <w:r>
        <w:rPr>
          <w:rFonts w:eastAsia="Times" w:cs="Times New Roman"/>
          <w:i/>
          <w:color w:val="000000"/>
          <w:sz w:val="20"/>
          <w:szCs w:val="20"/>
        </w:rPr>
        <w:t xml:space="preserve">probability </w:t>
      </w:r>
      <w:r>
        <w:rPr>
          <w:rFonts w:eastAsia="Times New Roman" w:cs="Times New Roman"/>
          <w:color w:val="000000"/>
          <w:sz w:val="20"/>
          <w:szCs w:val="20"/>
        </w:rPr>
        <w:t>exceeded 10% in the 50 year earthquake return pe</w:t>
      </w:r>
      <w:r>
        <w:rPr>
          <w:rFonts w:eastAsia="Times New Roman" w:cs="Times New Roman"/>
          <w:color w:val="000000"/>
          <w:sz w:val="20"/>
          <w:szCs w:val="20"/>
        </w:rPr>
        <w:t xml:space="preserve">riod shown in Figure </w:t>
      </w:r>
      <w:r>
        <w:rPr>
          <w:rFonts w:eastAsia="Times New Roman" w:cs="Times New Roman"/>
          <w:color w:val="000000"/>
          <w:sz w:val="20"/>
          <w:szCs w:val="20"/>
        </w:rPr>
        <w:t>2</w:t>
      </w:r>
      <w:r>
        <w:rPr>
          <w:rFonts w:eastAsia="Times New Roman" w:cs="Times New Roman"/>
          <w:color w:val="000000"/>
          <w:sz w:val="20"/>
          <w:szCs w:val="20"/>
        </w:rPr>
        <w:t>. This means that there is a 10% chance that the maximum PGA value of the area will be greater than what is on the map for 50 years.</w:t>
      </w:r>
    </w:p>
    <w:p w14:paraId="2B7E9894" w14:textId="77777777" w:rsidR="00CA20B8" w:rsidRDefault="00CA20B8">
      <w:pPr>
        <w:spacing w:after="0"/>
        <w:ind w:firstLine="432"/>
        <w:jc w:val="both"/>
        <w:rPr>
          <w:rFonts w:eastAsia="Times New Roman" w:cs="Times New Roman"/>
          <w:color w:val="000000"/>
          <w:sz w:val="20"/>
          <w:szCs w:val="20"/>
        </w:rPr>
      </w:pPr>
    </w:p>
    <w:p w14:paraId="32B033D8" w14:textId="77777777" w:rsidR="00CA20B8" w:rsidRDefault="003225D9">
      <w:pPr>
        <w:spacing w:after="0"/>
        <w:jc w:val="center"/>
        <w:rPr>
          <w:rFonts w:cs="Times New Roman"/>
        </w:rPr>
      </w:pPr>
      <w:r>
        <w:rPr>
          <w:rFonts w:cs="Times New Roman"/>
          <w:noProof/>
        </w:rPr>
        <w:drawing>
          <wp:inline distT="0" distB="0" distL="0" distR="0" wp14:anchorId="66802F6B" wp14:editId="5EA80BAA">
            <wp:extent cx="3941445" cy="3128010"/>
            <wp:effectExtent l="0" t="0" r="1905" b="15240"/>
            <wp:docPr id="1028" name="image12.jpg"/>
            <wp:cNvGraphicFramePr/>
            <a:graphic xmlns:a="http://schemas.openxmlformats.org/drawingml/2006/main">
              <a:graphicData uri="http://schemas.openxmlformats.org/drawingml/2006/picture">
                <pic:pic xmlns:pic="http://schemas.openxmlformats.org/drawingml/2006/picture">
                  <pic:nvPicPr>
                    <pic:cNvPr id="1028" name="image12.jpg"/>
                    <pic:cNvPicPr/>
                  </pic:nvPicPr>
                  <pic:blipFill>
                    <a:blip r:embed="rId17" cstate="print"/>
                    <a:srcRect/>
                    <a:stretch>
                      <a:fillRect/>
                    </a:stretch>
                  </pic:blipFill>
                  <pic:spPr>
                    <a:xfrm>
                      <a:off x="0" y="0"/>
                      <a:ext cx="3941445" cy="3128010"/>
                    </a:xfrm>
                    <a:prstGeom prst="rect">
                      <a:avLst/>
                    </a:prstGeom>
                  </pic:spPr>
                </pic:pic>
              </a:graphicData>
            </a:graphic>
          </wp:inline>
        </w:drawing>
      </w:r>
    </w:p>
    <w:p w14:paraId="2CC1A349" w14:textId="77777777" w:rsidR="00CA20B8" w:rsidRDefault="003225D9">
      <w:pPr>
        <w:pStyle w:val="Caption"/>
        <w:jc w:val="center"/>
        <w:rPr>
          <w:rFonts w:cs="Times New Roman"/>
          <w:b w:val="0"/>
          <w:color w:val="auto"/>
          <w:sz w:val="20"/>
          <w:szCs w:val="20"/>
        </w:rPr>
      </w:pPr>
      <w:r>
        <w:rPr>
          <w:rFonts w:cs="Times New Roman"/>
          <w:b w:val="0"/>
          <w:color w:val="auto"/>
          <w:sz w:val="20"/>
          <w:szCs w:val="20"/>
        </w:rPr>
        <w:t>Figure</w:t>
      </w:r>
      <w:r>
        <w:rPr>
          <w:rFonts w:cs="Times New Roman"/>
          <w:b w:val="0"/>
          <w:color w:val="auto"/>
          <w:sz w:val="20"/>
          <w:szCs w:val="20"/>
        </w:rPr>
        <w:t xml:space="preserve"> </w:t>
      </w:r>
      <w:bookmarkStart w:id="1" w:name="_heading=h.19c6y18" w:colFirst="0" w:colLast="0"/>
      <w:bookmarkEnd w:id="1"/>
      <w:r>
        <w:rPr>
          <w:rFonts w:cs="Times New Roman"/>
          <w:b w:val="0"/>
          <w:color w:val="auto"/>
          <w:sz w:val="20"/>
          <w:szCs w:val="20"/>
        </w:rPr>
        <w:t>2</w:t>
      </w:r>
      <w:r>
        <w:rPr>
          <w:rFonts w:cs="Times New Roman"/>
          <w:b w:val="0"/>
          <w:color w:val="auto"/>
          <w:sz w:val="20"/>
          <w:szCs w:val="20"/>
        </w:rPr>
        <w:t xml:space="preserve">. </w:t>
      </w:r>
      <w:r>
        <w:rPr>
          <w:rFonts w:eastAsia="Times New Roman" w:cs="Times New Roman"/>
          <w:b w:val="0"/>
          <w:color w:val="auto"/>
          <w:sz w:val="20"/>
          <w:szCs w:val="20"/>
        </w:rPr>
        <w:t>Bedrock Acceleration Map in Mentawai Region T = 0 seconds</w:t>
      </w:r>
    </w:p>
    <w:p w14:paraId="1BA1FBBE" w14:textId="77777777" w:rsidR="00CA20B8" w:rsidRDefault="003225D9">
      <w:pPr>
        <w:spacing w:after="0"/>
        <w:ind w:firstLine="432"/>
        <w:jc w:val="both"/>
        <w:rPr>
          <w:rFonts w:eastAsia="Times New Roman" w:cs="Times New Roman"/>
          <w:color w:val="000000"/>
          <w:sz w:val="20"/>
          <w:szCs w:val="20"/>
        </w:rPr>
      </w:pPr>
      <w:r>
        <w:rPr>
          <w:rFonts w:eastAsia="Times New Roman" w:cs="Times New Roman"/>
          <w:color w:val="000000"/>
          <w:sz w:val="20"/>
          <w:szCs w:val="20"/>
        </w:rPr>
        <w:t>Based on scatter Contour map p</w:t>
      </w:r>
      <w:r>
        <w:rPr>
          <w:rFonts w:eastAsia="Times New Roman" w:cs="Times New Roman"/>
          <w:color w:val="000000"/>
          <w:sz w:val="20"/>
          <w:szCs w:val="20"/>
        </w:rPr>
        <w:t xml:space="preserve">attern Figure </w:t>
      </w:r>
      <w:r>
        <w:rPr>
          <w:rFonts w:eastAsia="Times New Roman" w:cs="Times New Roman"/>
          <w:color w:val="000000"/>
          <w:sz w:val="20"/>
          <w:szCs w:val="20"/>
        </w:rPr>
        <w:t>2</w:t>
      </w:r>
      <w:r>
        <w:rPr>
          <w:rFonts w:eastAsia="Times New Roman" w:cs="Times New Roman"/>
          <w:color w:val="000000"/>
          <w:sz w:val="20"/>
          <w:szCs w:val="20"/>
        </w:rPr>
        <w:t xml:space="preserve">. Maximum PGA value, areas with seismic hazard are grouped into 9 colors </w:t>
      </w:r>
      <w:r>
        <w:rPr>
          <w:rFonts w:eastAsia="Times New Roman" w:cs="Times New Roman"/>
          <w:sz w:val="20"/>
          <w:szCs w:val="20"/>
        </w:rPr>
        <w:t>gradation</w:t>
      </w:r>
      <w:r>
        <w:rPr>
          <w:rFonts w:eastAsia="Times New Roman" w:cs="Times New Roman"/>
          <w:color w:val="000000"/>
          <w:sz w:val="20"/>
          <w:szCs w:val="20"/>
        </w:rPr>
        <w:t xml:space="preserve"> contour color with PGA value </w:t>
      </w:r>
      <w:r>
        <w:rPr>
          <w:rFonts w:eastAsia="Times New Roman" w:cs="Times New Roman"/>
          <w:sz w:val="20"/>
          <w:szCs w:val="20"/>
        </w:rPr>
        <w:t xml:space="preserve">in </w:t>
      </w:r>
      <w:proofErr w:type="spellStart"/>
      <w:r>
        <w:rPr>
          <w:rFonts w:eastAsia="Times New Roman" w:cs="Times New Roman"/>
          <w:sz w:val="20"/>
          <w:szCs w:val="20"/>
        </w:rPr>
        <w:t>each</w:t>
      </w:r>
      <w:r>
        <w:rPr>
          <w:rFonts w:eastAsia="Times New Roman" w:cs="Times New Roman"/>
          <w:color w:val="000000"/>
          <w:sz w:val="20"/>
          <w:szCs w:val="20"/>
        </w:rPr>
        <w:t>different</w:t>
      </w:r>
      <w:proofErr w:type="spellEnd"/>
      <w:r>
        <w:rPr>
          <w:rFonts w:eastAsia="Times New Roman" w:cs="Times New Roman"/>
          <w:color w:val="000000"/>
          <w:sz w:val="20"/>
          <w:szCs w:val="20"/>
        </w:rPr>
        <w:t xml:space="preserve"> areas. </w:t>
      </w:r>
    </w:p>
    <w:p w14:paraId="304361CB" w14:textId="08D17FC1" w:rsidR="00CA20B8" w:rsidRDefault="003225D9">
      <w:pPr>
        <w:spacing w:after="0"/>
        <w:ind w:firstLine="432"/>
        <w:jc w:val="both"/>
        <w:rPr>
          <w:rFonts w:eastAsia="Times New Roman" w:cs="Times New Roman"/>
          <w:color w:val="000000"/>
          <w:sz w:val="20"/>
          <w:szCs w:val="20"/>
        </w:rPr>
      </w:pPr>
      <w:r>
        <w:rPr>
          <w:rFonts w:eastAsia="Times New Roman" w:cs="Times New Roman"/>
          <w:color w:val="000000"/>
          <w:sz w:val="20"/>
          <w:szCs w:val="20"/>
        </w:rPr>
        <w:t xml:space="preserve">Acceleration results in bedrock at T = 0.2 seconds </w:t>
      </w:r>
      <w:proofErr w:type="spellStart"/>
      <w:r>
        <w:rPr>
          <w:rFonts w:eastAsia="Times New Roman" w:cs="Times New Roman"/>
          <w:color w:val="000000"/>
          <w:sz w:val="20"/>
          <w:szCs w:val="20"/>
        </w:rPr>
        <w:t>with</w:t>
      </w:r>
      <w:r>
        <w:rPr>
          <w:rFonts w:eastAsia="Times" w:cs="Times New Roman"/>
          <w:i/>
          <w:color w:val="000000"/>
          <w:sz w:val="20"/>
          <w:szCs w:val="20"/>
        </w:rPr>
        <w:t>probability</w:t>
      </w:r>
      <w:proofErr w:type="spellEnd"/>
      <w:r>
        <w:rPr>
          <w:rFonts w:eastAsia="Times" w:cs="Times New Roman"/>
          <w:i/>
          <w:color w:val="000000"/>
          <w:sz w:val="20"/>
          <w:szCs w:val="20"/>
        </w:rPr>
        <w:t xml:space="preserve"> </w:t>
      </w:r>
      <w:r>
        <w:rPr>
          <w:rFonts w:eastAsia="Times New Roman" w:cs="Times New Roman"/>
          <w:color w:val="000000"/>
          <w:sz w:val="20"/>
          <w:szCs w:val="20"/>
        </w:rPr>
        <w:t>exceeded 10% in the 50-year earthquak</w:t>
      </w:r>
      <w:r>
        <w:rPr>
          <w:rFonts w:eastAsia="Times New Roman" w:cs="Times New Roman"/>
          <w:color w:val="000000"/>
          <w:sz w:val="20"/>
          <w:szCs w:val="20"/>
        </w:rPr>
        <w:t xml:space="preserve">e return period shown in Figure </w:t>
      </w:r>
      <w:r w:rsidR="00871DB6">
        <w:rPr>
          <w:rFonts w:eastAsia="Times New Roman" w:cs="Times New Roman"/>
          <w:color w:val="000000"/>
          <w:sz w:val="20"/>
          <w:szCs w:val="20"/>
        </w:rPr>
        <w:t>3</w:t>
      </w:r>
      <w:r>
        <w:rPr>
          <w:rFonts w:eastAsia="Times New Roman" w:cs="Times New Roman"/>
          <w:color w:val="000000"/>
          <w:sz w:val="20"/>
          <w:szCs w:val="20"/>
        </w:rPr>
        <w:t>. This means that there is a 10% probability that the maximum PGA value of the area will be greater than that shown on the map for 50 years.</w:t>
      </w:r>
    </w:p>
    <w:p w14:paraId="240B844F" w14:textId="77777777" w:rsidR="00CA20B8" w:rsidRDefault="00CA20B8">
      <w:pPr>
        <w:spacing w:after="0"/>
        <w:ind w:firstLine="432"/>
        <w:jc w:val="both"/>
        <w:rPr>
          <w:rFonts w:eastAsia="Times New Roman" w:cs="Times New Roman"/>
          <w:color w:val="000000"/>
          <w:sz w:val="20"/>
          <w:szCs w:val="20"/>
        </w:rPr>
      </w:pPr>
    </w:p>
    <w:p w14:paraId="68DFA330" w14:textId="77777777" w:rsidR="00CA20B8" w:rsidRDefault="003225D9">
      <w:pPr>
        <w:spacing w:after="0"/>
        <w:jc w:val="center"/>
        <w:rPr>
          <w:rFonts w:cs="Times New Roman"/>
        </w:rPr>
      </w:pPr>
      <w:r>
        <w:rPr>
          <w:rFonts w:cs="Times New Roman"/>
          <w:noProof/>
        </w:rPr>
        <w:drawing>
          <wp:inline distT="0" distB="0" distL="0" distR="0" wp14:anchorId="6FD452E5" wp14:editId="3F7D08BD">
            <wp:extent cx="3678555" cy="2778125"/>
            <wp:effectExtent l="0" t="0" r="17145" b="3175"/>
            <wp:docPr id="1029" name="image19.jpg"/>
            <wp:cNvGraphicFramePr/>
            <a:graphic xmlns:a="http://schemas.openxmlformats.org/drawingml/2006/main">
              <a:graphicData uri="http://schemas.openxmlformats.org/drawingml/2006/picture">
                <pic:pic xmlns:pic="http://schemas.openxmlformats.org/drawingml/2006/picture">
                  <pic:nvPicPr>
                    <pic:cNvPr id="1029" name="image19.jpg"/>
                    <pic:cNvPicPr/>
                  </pic:nvPicPr>
                  <pic:blipFill>
                    <a:blip r:embed="rId18" cstate="print"/>
                    <a:srcRect/>
                    <a:stretch>
                      <a:fillRect/>
                    </a:stretch>
                  </pic:blipFill>
                  <pic:spPr>
                    <a:xfrm>
                      <a:off x="0" y="0"/>
                      <a:ext cx="3678555" cy="2778125"/>
                    </a:xfrm>
                    <a:prstGeom prst="rect">
                      <a:avLst/>
                    </a:prstGeom>
                  </pic:spPr>
                </pic:pic>
              </a:graphicData>
            </a:graphic>
          </wp:inline>
        </w:drawing>
      </w:r>
    </w:p>
    <w:p w14:paraId="66845621" w14:textId="77777777" w:rsidR="00CA20B8" w:rsidRDefault="003225D9">
      <w:pPr>
        <w:pStyle w:val="Caption"/>
        <w:jc w:val="center"/>
        <w:rPr>
          <w:rFonts w:cs="Times New Roman"/>
          <w:b w:val="0"/>
          <w:color w:val="auto"/>
          <w:sz w:val="20"/>
          <w:szCs w:val="20"/>
        </w:rPr>
      </w:pPr>
      <w:r>
        <w:rPr>
          <w:rFonts w:cs="Times New Roman"/>
          <w:b w:val="0"/>
          <w:color w:val="auto"/>
          <w:sz w:val="20"/>
          <w:szCs w:val="20"/>
        </w:rPr>
        <w:lastRenderedPageBreak/>
        <w:t>Figure</w:t>
      </w:r>
      <w:r>
        <w:rPr>
          <w:rFonts w:cs="Times New Roman"/>
          <w:b w:val="0"/>
          <w:color w:val="auto"/>
          <w:sz w:val="20"/>
          <w:szCs w:val="20"/>
        </w:rPr>
        <w:t xml:space="preserve"> </w:t>
      </w:r>
      <w:bookmarkStart w:id="2" w:name="_heading=h.3tbugp1" w:colFirst="0" w:colLast="0"/>
      <w:bookmarkEnd w:id="2"/>
      <w:r>
        <w:rPr>
          <w:rFonts w:cs="Times New Roman"/>
          <w:b w:val="0"/>
          <w:color w:val="auto"/>
          <w:sz w:val="20"/>
          <w:szCs w:val="20"/>
        </w:rPr>
        <w:t>3</w:t>
      </w:r>
      <w:r>
        <w:rPr>
          <w:rFonts w:cs="Times New Roman"/>
          <w:b w:val="0"/>
          <w:color w:val="auto"/>
          <w:sz w:val="20"/>
          <w:szCs w:val="20"/>
        </w:rPr>
        <w:t xml:space="preserve">. </w:t>
      </w:r>
      <w:r>
        <w:rPr>
          <w:rFonts w:eastAsia="Times New Roman" w:cs="Times New Roman"/>
          <w:b w:val="0"/>
          <w:color w:val="auto"/>
          <w:sz w:val="20"/>
          <w:szCs w:val="20"/>
        </w:rPr>
        <w:t>Bedrock Acceleration Map in Mentawai Region T = 0.2 seconds</w:t>
      </w:r>
    </w:p>
    <w:p w14:paraId="7DE92D31" w14:textId="6BD223BE" w:rsidR="00CA20B8" w:rsidRDefault="003225D9">
      <w:pPr>
        <w:spacing w:after="0"/>
        <w:ind w:firstLine="432"/>
        <w:jc w:val="both"/>
        <w:rPr>
          <w:rFonts w:eastAsia="Times New Roman" w:cs="Times New Roman"/>
          <w:color w:val="000000"/>
          <w:sz w:val="20"/>
          <w:szCs w:val="20"/>
        </w:rPr>
      </w:pPr>
      <w:r>
        <w:rPr>
          <w:rFonts w:eastAsia="Times New Roman" w:cs="Times New Roman"/>
          <w:color w:val="000000"/>
          <w:sz w:val="20"/>
          <w:szCs w:val="20"/>
        </w:rPr>
        <w:t xml:space="preserve">Based on </w:t>
      </w:r>
      <w:r>
        <w:rPr>
          <w:rFonts w:eastAsia="Times New Roman" w:cs="Times New Roman"/>
          <w:color w:val="000000"/>
          <w:sz w:val="20"/>
          <w:szCs w:val="20"/>
        </w:rPr>
        <w:t>Figure</w:t>
      </w:r>
      <w:r>
        <w:rPr>
          <w:rFonts w:eastAsia="Times New Roman" w:cs="Times New Roman"/>
          <w:color w:val="000000"/>
          <w:sz w:val="20"/>
          <w:szCs w:val="20"/>
        </w:rPr>
        <w:t xml:space="preserve"> </w:t>
      </w:r>
      <w:r>
        <w:rPr>
          <w:rFonts w:eastAsia="Times New Roman" w:cs="Times New Roman"/>
          <w:color w:val="000000"/>
          <w:sz w:val="20"/>
          <w:szCs w:val="20"/>
        </w:rPr>
        <w:t>3</w:t>
      </w:r>
      <w:r>
        <w:rPr>
          <w:rFonts w:eastAsia="Times New Roman" w:cs="Times New Roman"/>
          <w:color w:val="000000"/>
          <w:sz w:val="20"/>
          <w:szCs w:val="20"/>
        </w:rPr>
        <w:t xml:space="preserve"> maximum PGA </w:t>
      </w:r>
      <w:proofErr w:type="spellStart"/>
      <w:r>
        <w:rPr>
          <w:rFonts w:eastAsia="Times New Roman" w:cs="Times New Roman"/>
          <w:color w:val="000000"/>
          <w:sz w:val="20"/>
          <w:szCs w:val="20"/>
        </w:rPr>
        <w:t>value</w:t>
      </w:r>
      <w:r>
        <w:rPr>
          <w:rFonts w:eastAsia="Times New Roman" w:cs="Times New Roman"/>
          <w:sz w:val="20"/>
          <w:szCs w:val="20"/>
        </w:rPr>
        <w:t>in</w:t>
      </w:r>
      <w:proofErr w:type="spellEnd"/>
      <w:r>
        <w:rPr>
          <w:rFonts w:eastAsia="Times New Roman" w:cs="Times New Roman"/>
          <w:sz w:val="20"/>
          <w:szCs w:val="20"/>
        </w:rPr>
        <w:t xml:space="preserve"> each</w:t>
      </w:r>
      <w:r>
        <w:rPr>
          <w:rFonts w:eastAsia="Times New Roman" w:cs="Times New Roman"/>
          <w:color w:val="000000"/>
          <w:sz w:val="20"/>
          <w:szCs w:val="20"/>
        </w:rPr>
        <w:t xml:space="preserve"> the area in the </w:t>
      </w:r>
      <w:proofErr w:type="spellStart"/>
      <w:r>
        <w:rPr>
          <w:rFonts w:eastAsia="Times New Roman" w:cs="Times New Roman"/>
          <w:color w:val="000000"/>
          <w:sz w:val="20"/>
          <w:szCs w:val="20"/>
        </w:rPr>
        <w:t>mentawai</w:t>
      </w:r>
      <w:proofErr w:type="spellEnd"/>
      <w:r>
        <w:rPr>
          <w:rFonts w:eastAsia="Times New Roman" w:cs="Times New Roman"/>
          <w:color w:val="000000"/>
          <w:sz w:val="20"/>
          <w:szCs w:val="20"/>
        </w:rPr>
        <w:t xml:space="preserve"> </w:t>
      </w:r>
      <w:r>
        <w:rPr>
          <w:rFonts w:eastAsia="Times New Roman" w:cs="Times New Roman"/>
          <w:sz w:val="20"/>
          <w:szCs w:val="20"/>
        </w:rPr>
        <w:t>experience</w:t>
      </w:r>
      <w:r>
        <w:rPr>
          <w:rFonts w:eastAsia="Times New Roman" w:cs="Times New Roman"/>
          <w:color w:val="000000"/>
          <w:sz w:val="20"/>
          <w:szCs w:val="20"/>
        </w:rPr>
        <w:t xml:space="preserve"> </w:t>
      </w:r>
      <w:r>
        <w:rPr>
          <w:rFonts w:eastAsia="Times" w:cs="Times New Roman"/>
          <w:i/>
          <w:color w:val="000000"/>
          <w:sz w:val="20"/>
          <w:szCs w:val="20"/>
        </w:rPr>
        <w:t xml:space="preserve">enhancement </w:t>
      </w:r>
      <w:r>
        <w:rPr>
          <w:rFonts w:eastAsia="Times New Roman" w:cs="Times New Roman"/>
          <w:color w:val="000000"/>
          <w:sz w:val="20"/>
          <w:szCs w:val="20"/>
        </w:rPr>
        <w:t xml:space="preserve">especially in the </w:t>
      </w:r>
      <w:proofErr w:type="spellStart"/>
      <w:r>
        <w:rPr>
          <w:rFonts w:eastAsia="Times New Roman" w:cs="Times New Roman"/>
          <w:color w:val="000000"/>
          <w:sz w:val="20"/>
          <w:szCs w:val="20"/>
        </w:rPr>
        <w:t>Siberut</w:t>
      </w:r>
      <w:proofErr w:type="spellEnd"/>
      <w:r>
        <w:rPr>
          <w:rFonts w:eastAsia="Times New Roman" w:cs="Times New Roman"/>
          <w:color w:val="000000"/>
          <w:sz w:val="20"/>
          <w:szCs w:val="20"/>
        </w:rPr>
        <w:t xml:space="preserve"> and </w:t>
      </w:r>
      <w:proofErr w:type="spellStart"/>
      <w:r>
        <w:rPr>
          <w:rFonts w:eastAsia="Times New Roman" w:cs="Times New Roman"/>
          <w:color w:val="000000"/>
          <w:sz w:val="20"/>
          <w:szCs w:val="20"/>
        </w:rPr>
        <w:t>Sipora</w:t>
      </w:r>
      <w:proofErr w:type="spellEnd"/>
      <w:r>
        <w:rPr>
          <w:rFonts w:eastAsia="Times New Roman" w:cs="Times New Roman"/>
          <w:color w:val="000000"/>
          <w:sz w:val="20"/>
          <w:szCs w:val="20"/>
        </w:rPr>
        <w:t xml:space="preserve"> areas with a moderate to severe range. </w:t>
      </w:r>
    </w:p>
    <w:p w14:paraId="75779EA5" w14:textId="77777777" w:rsidR="00CA20B8" w:rsidRDefault="003225D9">
      <w:pPr>
        <w:ind w:firstLine="432"/>
        <w:jc w:val="both"/>
        <w:rPr>
          <w:rFonts w:cs="Times New Roman"/>
          <w:sz w:val="20"/>
          <w:szCs w:val="20"/>
          <w:lang w:val="id-ID"/>
        </w:rPr>
      </w:pPr>
      <w:r>
        <w:rPr>
          <w:rFonts w:eastAsia="Times New Roman" w:cs="Times New Roman"/>
          <w:color w:val="000000"/>
          <w:sz w:val="20"/>
          <w:szCs w:val="20"/>
        </w:rPr>
        <w:t>Result of acceleration in bedrock at T = 1 second with</w:t>
      </w:r>
      <w:r>
        <w:rPr>
          <w:rFonts w:eastAsia="Times New Roman" w:cs="Times New Roman"/>
          <w:color w:val="000000"/>
          <w:sz w:val="20"/>
          <w:szCs w:val="20"/>
        </w:rPr>
        <w:t xml:space="preserve"> </w:t>
      </w:r>
      <w:r>
        <w:rPr>
          <w:rFonts w:eastAsia="Times" w:cs="Times New Roman"/>
          <w:i/>
          <w:color w:val="000000"/>
          <w:sz w:val="20"/>
          <w:szCs w:val="20"/>
        </w:rPr>
        <w:t xml:space="preserve">probability </w:t>
      </w:r>
      <w:r>
        <w:rPr>
          <w:rFonts w:eastAsia="Times New Roman" w:cs="Times New Roman"/>
          <w:color w:val="000000"/>
          <w:sz w:val="20"/>
          <w:szCs w:val="20"/>
        </w:rPr>
        <w:t xml:space="preserve">exceeded 10% in the 50-year earthquake return period shown in Figure </w:t>
      </w:r>
      <w:r>
        <w:rPr>
          <w:rFonts w:eastAsia="Times New Roman" w:cs="Times New Roman"/>
          <w:color w:val="000000"/>
          <w:sz w:val="20"/>
          <w:szCs w:val="20"/>
        </w:rPr>
        <w:t>4.</w:t>
      </w:r>
      <w:r>
        <w:rPr>
          <w:rFonts w:eastAsia="Times New Roman" w:cs="Times New Roman"/>
          <w:color w:val="000000"/>
          <w:sz w:val="20"/>
          <w:szCs w:val="20"/>
        </w:rPr>
        <w:t xml:space="preserve"> </w:t>
      </w:r>
      <w:r>
        <w:rPr>
          <w:rFonts w:eastAsia="Times New Roman" w:cs="Times New Roman"/>
          <w:color w:val="000000"/>
          <w:sz w:val="20"/>
          <w:szCs w:val="20"/>
        </w:rPr>
        <w:t xml:space="preserve"> </w:t>
      </w:r>
      <w:r>
        <w:rPr>
          <w:rFonts w:eastAsia="Times New Roman" w:cs="Times New Roman"/>
          <w:color w:val="000000"/>
          <w:sz w:val="20"/>
          <w:szCs w:val="20"/>
        </w:rPr>
        <w:t xml:space="preserve">This means that there is a 10% possibility that the maximum PGA value of the area will be greater than that shown on the map for 50 years. </w:t>
      </w:r>
    </w:p>
    <w:p w14:paraId="090E04E0" w14:textId="77777777" w:rsidR="00CA20B8" w:rsidRDefault="003225D9">
      <w:pPr>
        <w:jc w:val="center"/>
        <w:rPr>
          <w:rFonts w:cs="Times New Roman"/>
        </w:rPr>
      </w:pPr>
      <w:r>
        <w:rPr>
          <w:rFonts w:cs="Times New Roman"/>
          <w:noProof/>
        </w:rPr>
        <w:drawing>
          <wp:inline distT="0" distB="0" distL="0" distR="0" wp14:anchorId="3AC503B7" wp14:editId="332C6124">
            <wp:extent cx="3695065" cy="2850515"/>
            <wp:effectExtent l="0" t="0" r="635" b="6985"/>
            <wp:docPr id="1030" name="image16.jpg"/>
            <wp:cNvGraphicFramePr/>
            <a:graphic xmlns:a="http://schemas.openxmlformats.org/drawingml/2006/main">
              <a:graphicData uri="http://schemas.openxmlformats.org/drawingml/2006/picture">
                <pic:pic xmlns:pic="http://schemas.openxmlformats.org/drawingml/2006/picture">
                  <pic:nvPicPr>
                    <pic:cNvPr id="1030" name="image16.jpg"/>
                    <pic:cNvPicPr/>
                  </pic:nvPicPr>
                  <pic:blipFill>
                    <a:blip r:embed="rId19" cstate="print"/>
                    <a:srcRect/>
                    <a:stretch>
                      <a:fillRect/>
                    </a:stretch>
                  </pic:blipFill>
                  <pic:spPr>
                    <a:xfrm>
                      <a:off x="0" y="0"/>
                      <a:ext cx="3695065" cy="2850515"/>
                    </a:xfrm>
                    <a:prstGeom prst="rect">
                      <a:avLst/>
                    </a:prstGeom>
                  </pic:spPr>
                </pic:pic>
              </a:graphicData>
            </a:graphic>
          </wp:inline>
        </w:drawing>
      </w:r>
    </w:p>
    <w:p w14:paraId="79DDAC42" w14:textId="77777777" w:rsidR="00CA20B8" w:rsidRDefault="003225D9">
      <w:pPr>
        <w:pStyle w:val="Caption"/>
        <w:jc w:val="center"/>
        <w:rPr>
          <w:rFonts w:cs="Times New Roman"/>
        </w:rPr>
      </w:pPr>
      <w:r>
        <w:rPr>
          <w:rFonts w:cs="Times New Roman"/>
          <w:b w:val="0"/>
          <w:color w:val="auto"/>
          <w:sz w:val="20"/>
          <w:szCs w:val="20"/>
        </w:rPr>
        <w:t>Figure</w:t>
      </w:r>
      <w:r>
        <w:rPr>
          <w:rFonts w:cs="Times New Roman"/>
          <w:b w:val="0"/>
          <w:color w:val="auto"/>
          <w:sz w:val="20"/>
          <w:szCs w:val="20"/>
        </w:rPr>
        <w:t xml:space="preserve"> </w:t>
      </w:r>
      <w:bookmarkStart w:id="3" w:name="_heading=h.28h4qwu" w:colFirst="0" w:colLast="0"/>
      <w:bookmarkEnd w:id="3"/>
      <w:r>
        <w:rPr>
          <w:rFonts w:cs="Times New Roman"/>
          <w:b w:val="0"/>
          <w:color w:val="auto"/>
          <w:sz w:val="20"/>
          <w:szCs w:val="20"/>
        </w:rPr>
        <w:t>4</w:t>
      </w:r>
      <w:r>
        <w:rPr>
          <w:rFonts w:cs="Times New Roman"/>
          <w:b w:val="0"/>
          <w:color w:val="auto"/>
          <w:sz w:val="20"/>
          <w:szCs w:val="20"/>
        </w:rPr>
        <w:t xml:space="preserve">. </w:t>
      </w:r>
      <w:r>
        <w:rPr>
          <w:rFonts w:eastAsia="Times New Roman" w:cs="Times New Roman"/>
          <w:b w:val="0"/>
          <w:color w:val="auto"/>
          <w:sz w:val="20"/>
          <w:szCs w:val="20"/>
        </w:rPr>
        <w:t>Bedrock Acceleration Map in Men</w:t>
      </w:r>
      <w:r>
        <w:rPr>
          <w:rFonts w:eastAsia="Times New Roman" w:cs="Times New Roman"/>
          <w:b w:val="0"/>
          <w:color w:val="auto"/>
          <w:sz w:val="20"/>
          <w:szCs w:val="20"/>
        </w:rPr>
        <w:t>tawai Region T = 1 second</w:t>
      </w:r>
    </w:p>
    <w:p w14:paraId="48266A98" w14:textId="4D1EE673" w:rsidR="00CA20B8" w:rsidRDefault="003225D9">
      <w:pPr>
        <w:ind w:firstLine="432"/>
        <w:jc w:val="both"/>
        <w:rPr>
          <w:rFonts w:cs="Times New Roman"/>
          <w:sz w:val="20"/>
          <w:szCs w:val="20"/>
          <w:lang w:val="id-ID"/>
        </w:rPr>
      </w:pPr>
      <w:r>
        <w:rPr>
          <w:rFonts w:eastAsia="Times New Roman" w:cs="Times New Roman"/>
          <w:color w:val="000000"/>
          <w:sz w:val="20"/>
          <w:szCs w:val="20"/>
        </w:rPr>
        <w:t xml:space="preserve">Based on Figure </w:t>
      </w:r>
      <w:r w:rsidR="000059C8">
        <w:rPr>
          <w:rFonts w:eastAsia="Times New Roman" w:cs="Times New Roman"/>
          <w:color w:val="000000"/>
          <w:sz w:val="20"/>
          <w:szCs w:val="20"/>
        </w:rPr>
        <w:t>4</w:t>
      </w:r>
      <w:r>
        <w:rPr>
          <w:rFonts w:eastAsia="Times New Roman" w:cs="Times New Roman"/>
          <w:color w:val="000000"/>
          <w:sz w:val="20"/>
          <w:szCs w:val="20"/>
        </w:rPr>
        <w:t xml:space="preserve">. </w:t>
      </w:r>
      <w:r>
        <w:rPr>
          <w:rFonts w:eastAsia="Times" w:cs="Times New Roman"/>
          <w:i/>
          <w:color w:val="000000"/>
          <w:sz w:val="20"/>
          <w:szCs w:val="20"/>
        </w:rPr>
        <w:t xml:space="preserve">Mark </w:t>
      </w:r>
      <w:r>
        <w:rPr>
          <w:rFonts w:eastAsia="Times New Roman" w:cs="Times New Roman"/>
          <w:color w:val="000000"/>
          <w:sz w:val="20"/>
          <w:szCs w:val="20"/>
        </w:rPr>
        <w:t>Maximum PGA, seismic hazard areas are presented with acceleration values</w:t>
      </w:r>
      <w:r>
        <w:rPr>
          <w:rFonts w:eastAsia="Times New Roman" w:cs="Times New Roman"/>
          <w:color w:val="000000"/>
          <w:sz w:val="20"/>
          <w:szCs w:val="20"/>
        </w:rPr>
        <w:t xml:space="preserve"> </w:t>
      </w:r>
      <w:r>
        <w:rPr>
          <w:rFonts w:eastAsia="Times New Roman" w:cs="Times New Roman"/>
          <w:color w:val="000000"/>
          <w:sz w:val="20"/>
          <w:szCs w:val="20"/>
        </w:rPr>
        <w:t>from 0.57g – 2.30g which are not much different from Fig</w:t>
      </w:r>
      <w:r>
        <w:rPr>
          <w:rFonts w:eastAsia="Times New Roman" w:cs="Times New Roman"/>
          <w:color w:val="000000"/>
          <w:sz w:val="20"/>
          <w:szCs w:val="20"/>
        </w:rPr>
        <w:t xml:space="preserve">ure </w:t>
      </w:r>
      <w:r>
        <w:rPr>
          <w:rFonts w:eastAsia="Times New Roman" w:cs="Times New Roman"/>
          <w:color w:val="000000"/>
          <w:sz w:val="20"/>
          <w:szCs w:val="20"/>
        </w:rPr>
        <w:t>1.</w:t>
      </w:r>
      <w:r>
        <w:rPr>
          <w:rFonts w:eastAsia="Times New Roman" w:cs="Times New Roman"/>
          <w:color w:val="000000"/>
          <w:sz w:val="20"/>
          <w:szCs w:val="20"/>
        </w:rPr>
        <w:t xml:space="preserve"> </w:t>
      </w:r>
      <w:r>
        <w:rPr>
          <w:rFonts w:eastAsia="Times New Roman" w:cs="Times New Roman"/>
          <w:i/>
          <w:iCs/>
          <w:color w:val="000000"/>
          <w:sz w:val="20"/>
          <w:szCs w:val="20"/>
        </w:rPr>
        <w:t>S</w:t>
      </w:r>
      <w:r>
        <w:rPr>
          <w:rFonts w:eastAsia="Times" w:cs="Times New Roman"/>
          <w:i/>
          <w:color w:val="000000"/>
          <w:sz w:val="20"/>
          <w:szCs w:val="20"/>
        </w:rPr>
        <w:t xml:space="preserve">een </w:t>
      </w:r>
      <w:r>
        <w:rPr>
          <w:rFonts w:eastAsia="Times New Roman" w:cs="Times New Roman"/>
          <w:color w:val="000000"/>
          <w:sz w:val="20"/>
          <w:szCs w:val="20"/>
        </w:rPr>
        <w:t xml:space="preserve">that </w:t>
      </w:r>
      <w:r>
        <w:rPr>
          <w:rFonts w:eastAsia="Times" w:cs="Times New Roman"/>
          <w:i/>
          <w:color w:val="000000"/>
          <w:sz w:val="20"/>
          <w:szCs w:val="20"/>
        </w:rPr>
        <w:t xml:space="preserve">hazard </w:t>
      </w:r>
      <w:r>
        <w:rPr>
          <w:rFonts w:eastAsia="Times New Roman" w:cs="Times New Roman"/>
          <w:color w:val="000000"/>
          <w:sz w:val="20"/>
          <w:szCs w:val="20"/>
        </w:rPr>
        <w:t>seismicity in some areas is almost the same as the a</w:t>
      </w:r>
      <w:r>
        <w:rPr>
          <w:rFonts w:eastAsia="Times New Roman" w:cs="Times New Roman"/>
          <w:color w:val="000000"/>
          <w:sz w:val="20"/>
          <w:szCs w:val="20"/>
        </w:rPr>
        <w:t>cceleration in bedrock at T = 0 s. Level</w:t>
      </w:r>
      <w:r>
        <w:rPr>
          <w:rFonts w:eastAsia="Times New Roman" w:cs="Times New Roman"/>
          <w:color w:val="000000"/>
          <w:sz w:val="20"/>
          <w:szCs w:val="20"/>
        </w:rPr>
        <w:t xml:space="preserve"> </w:t>
      </w:r>
      <w:r>
        <w:rPr>
          <w:rFonts w:eastAsia="Times" w:cs="Times New Roman"/>
          <w:i/>
          <w:color w:val="000000"/>
          <w:sz w:val="20"/>
          <w:szCs w:val="20"/>
        </w:rPr>
        <w:t xml:space="preserve">hazard </w:t>
      </w:r>
      <w:r>
        <w:rPr>
          <w:rFonts w:eastAsia="Times New Roman" w:cs="Times New Roman"/>
          <w:color w:val="000000"/>
          <w:sz w:val="20"/>
          <w:szCs w:val="20"/>
        </w:rPr>
        <w:t>moderate seismic at three locations with acceleration values greater than 2.30g.</w:t>
      </w:r>
    </w:p>
    <w:p w14:paraId="598B4589" w14:textId="00112270" w:rsidR="00CA20B8" w:rsidRDefault="003225D9">
      <w:pPr>
        <w:spacing w:after="0"/>
        <w:ind w:firstLine="432"/>
        <w:jc w:val="both"/>
        <w:rPr>
          <w:rFonts w:eastAsia="Times New Roman" w:cs="Times New Roman"/>
          <w:sz w:val="20"/>
          <w:szCs w:val="20"/>
        </w:rPr>
      </w:pPr>
      <w:r>
        <w:rPr>
          <w:rFonts w:eastAsia="Times New Roman" w:cs="Times New Roman"/>
          <w:color w:val="000000"/>
          <w:sz w:val="20"/>
          <w:szCs w:val="20"/>
        </w:rPr>
        <w:t xml:space="preserve">Based on </w:t>
      </w:r>
      <w:r w:rsidR="000059C8">
        <w:rPr>
          <w:rFonts w:eastAsia="Times New Roman" w:cs="Times New Roman"/>
          <w:color w:val="000000"/>
          <w:sz w:val="20"/>
          <w:szCs w:val="20"/>
        </w:rPr>
        <w:t>Figure</w:t>
      </w:r>
      <w:r>
        <w:rPr>
          <w:rFonts w:eastAsia="Times New Roman" w:cs="Times New Roman"/>
          <w:sz w:val="20"/>
          <w:szCs w:val="20"/>
        </w:rPr>
        <w:t xml:space="preserve"> </w:t>
      </w:r>
      <w:r w:rsidR="000059C8">
        <w:rPr>
          <w:rFonts w:eastAsia="Times New Roman" w:cs="Times New Roman"/>
          <w:sz w:val="20"/>
          <w:szCs w:val="20"/>
        </w:rPr>
        <w:t>2</w:t>
      </w:r>
      <w:r>
        <w:rPr>
          <w:rFonts w:eastAsia="Times New Roman" w:cs="Times New Roman"/>
          <w:sz w:val="20"/>
          <w:szCs w:val="20"/>
        </w:rPr>
        <w:t xml:space="preserve">. we can make a table of acceleration values ​​in bedrock at T = 0 seconds </w:t>
      </w:r>
      <w:proofErr w:type="spellStart"/>
      <w:r>
        <w:rPr>
          <w:rFonts w:eastAsia="Times New Roman" w:cs="Times New Roman"/>
          <w:sz w:val="20"/>
          <w:szCs w:val="20"/>
        </w:rPr>
        <w:t>and</w:t>
      </w:r>
      <w:r>
        <w:rPr>
          <w:rFonts w:eastAsia="Times New Roman" w:cs="Times New Roman"/>
          <w:color w:val="000000"/>
          <w:sz w:val="20"/>
          <w:szCs w:val="20"/>
        </w:rPr>
        <w:t>probability</w:t>
      </w:r>
      <w:proofErr w:type="spellEnd"/>
      <w:r>
        <w:rPr>
          <w:rFonts w:eastAsia="Times New Roman" w:cs="Times New Roman"/>
          <w:color w:val="000000"/>
          <w:sz w:val="20"/>
          <w:szCs w:val="20"/>
        </w:rPr>
        <w:t xml:space="preserve"> </w:t>
      </w:r>
      <w:r>
        <w:rPr>
          <w:rFonts w:eastAsia="Times New Roman" w:cs="Times New Roman"/>
          <w:sz w:val="20"/>
          <w:szCs w:val="20"/>
        </w:rPr>
        <w:t xml:space="preserve">exceeded 10% within 50 years (earthquake return period 50 years). The resulting coefficients can be used by engineers for the design of building structures or </w:t>
      </w:r>
      <w:r>
        <w:rPr>
          <w:rFonts w:eastAsia="Times New Roman" w:cs="Times New Roman"/>
          <w:sz w:val="20"/>
          <w:szCs w:val="20"/>
        </w:rPr>
        <w:t xml:space="preserve">buildings. From Picture1. can be made a table and can be seen in the </w:t>
      </w:r>
      <w:r>
        <w:rPr>
          <w:rFonts w:eastAsia="Times New Roman" w:cs="Times New Roman"/>
          <w:sz w:val="20"/>
          <w:szCs w:val="20"/>
        </w:rPr>
        <w:t>t</w:t>
      </w:r>
      <w:r>
        <w:rPr>
          <w:rFonts w:eastAsia="Times New Roman" w:cs="Times New Roman"/>
          <w:sz w:val="20"/>
          <w:szCs w:val="20"/>
        </w:rPr>
        <w:t>able</w:t>
      </w:r>
      <w:r>
        <w:rPr>
          <w:rFonts w:eastAsia="Times New Roman" w:cs="Times New Roman"/>
          <w:sz w:val="20"/>
          <w:szCs w:val="20"/>
        </w:rPr>
        <w:t>1.</w:t>
      </w:r>
    </w:p>
    <w:p w14:paraId="4EF76C77" w14:textId="77777777" w:rsidR="00CA20B8" w:rsidRDefault="00CA20B8">
      <w:pPr>
        <w:spacing w:after="0"/>
        <w:ind w:firstLine="432"/>
        <w:jc w:val="both"/>
        <w:rPr>
          <w:rFonts w:eastAsia="Times New Roman" w:cs="Times New Roman"/>
          <w:sz w:val="20"/>
          <w:szCs w:val="20"/>
        </w:rPr>
      </w:pPr>
    </w:p>
    <w:tbl>
      <w:tblPr>
        <w:tblStyle w:val="Style31"/>
        <w:tblW w:w="6038" w:type="dxa"/>
        <w:jc w:val="center"/>
        <w:tblInd w:w="0" w:type="dxa"/>
        <w:tblLayout w:type="fixed"/>
        <w:tblLook w:val="04A0" w:firstRow="1" w:lastRow="0" w:firstColumn="1" w:lastColumn="0" w:noHBand="0" w:noVBand="1"/>
      </w:tblPr>
      <w:tblGrid>
        <w:gridCol w:w="769"/>
        <w:gridCol w:w="2181"/>
        <w:gridCol w:w="1565"/>
        <w:gridCol w:w="1523"/>
      </w:tblGrid>
      <w:tr w:rsidR="00CA20B8" w14:paraId="01E2311A" w14:textId="77777777">
        <w:trPr>
          <w:trHeight w:val="315"/>
          <w:jc w:val="center"/>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08E6F4"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w:t>
            </w:r>
          </w:p>
        </w:tc>
        <w:tc>
          <w:tcPr>
            <w:tcW w:w="2181" w:type="dxa"/>
            <w:tcBorders>
              <w:top w:val="single" w:sz="4" w:space="0" w:color="000000"/>
              <w:left w:val="nil"/>
              <w:bottom w:val="single" w:sz="4" w:space="0" w:color="000000"/>
              <w:right w:val="single" w:sz="4" w:space="0" w:color="000000"/>
            </w:tcBorders>
            <w:shd w:val="clear" w:color="auto" w:fill="auto"/>
            <w:vAlign w:val="bottom"/>
          </w:tcPr>
          <w:p w14:paraId="4190CA53"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Region</w:t>
            </w:r>
          </w:p>
        </w:tc>
        <w:tc>
          <w:tcPr>
            <w:tcW w:w="1565" w:type="dxa"/>
            <w:tcBorders>
              <w:top w:val="single" w:sz="4" w:space="0" w:color="000000"/>
              <w:left w:val="nil"/>
              <w:bottom w:val="single" w:sz="4" w:space="0" w:color="000000"/>
              <w:right w:val="single" w:sz="4" w:space="0" w:color="000000"/>
            </w:tcBorders>
            <w:shd w:val="clear" w:color="auto" w:fill="auto"/>
            <w:vAlign w:val="bottom"/>
          </w:tcPr>
          <w:p w14:paraId="6AAEA805"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PGA Max (g)</w:t>
            </w:r>
          </w:p>
        </w:tc>
        <w:tc>
          <w:tcPr>
            <w:tcW w:w="1523" w:type="dxa"/>
            <w:tcBorders>
              <w:top w:val="single" w:sz="4" w:space="0" w:color="000000"/>
              <w:left w:val="nil"/>
              <w:bottom w:val="single" w:sz="4" w:space="0" w:color="000000"/>
              <w:right w:val="single" w:sz="4" w:space="0" w:color="000000"/>
            </w:tcBorders>
            <w:shd w:val="clear" w:color="auto" w:fill="auto"/>
            <w:vAlign w:val="bottom"/>
          </w:tcPr>
          <w:p w14:paraId="4970A7C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PGA Min (g)</w:t>
            </w:r>
          </w:p>
        </w:tc>
      </w:tr>
      <w:tr w:rsidR="00CA20B8" w14:paraId="6289DAC0" w14:textId="77777777">
        <w:trPr>
          <w:trHeight w:val="315"/>
          <w:jc w:val="center"/>
        </w:trPr>
        <w:tc>
          <w:tcPr>
            <w:tcW w:w="769" w:type="dxa"/>
            <w:tcBorders>
              <w:top w:val="nil"/>
              <w:left w:val="single" w:sz="4" w:space="0" w:color="000000"/>
              <w:bottom w:val="single" w:sz="4" w:space="0" w:color="000000"/>
              <w:right w:val="single" w:sz="4" w:space="0" w:color="000000"/>
            </w:tcBorders>
            <w:shd w:val="clear" w:color="auto" w:fill="auto"/>
            <w:vAlign w:val="bottom"/>
          </w:tcPr>
          <w:p w14:paraId="5D826CD0"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2181" w:type="dxa"/>
            <w:tcBorders>
              <w:top w:val="nil"/>
              <w:left w:val="nil"/>
              <w:bottom w:val="single" w:sz="4" w:space="0" w:color="000000"/>
              <w:right w:val="single" w:sz="4" w:space="0" w:color="000000"/>
            </w:tcBorders>
            <w:shd w:val="clear" w:color="auto" w:fill="auto"/>
            <w:vAlign w:val="bottom"/>
          </w:tcPr>
          <w:p w14:paraId="6F955482"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 </w:t>
            </w:r>
            <w:proofErr w:type="spellStart"/>
            <w:r>
              <w:rPr>
                <w:rFonts w:eastAsia="Times New Roman" w:cs="Times New Roman"/>
                <w:color w:val="000000"/>
                <w:sz w:val="20"/>
                <w:szCs w:val="20"/>
              </w:rPr>
              <w:t>Pagai</w:t>
            </w:r>
            <w:proofErr w:type="spellEnd"/>
          </w:p>
        </w:tc>
        <w:tc>
          <w:tcPr>
            <w:tcW w:w="1565" w:type="dxa"/>
            <w:tcBorders>
              <w:top w:val="nil"/>
              <w:left w:val="nil"/>
              <w:bottom w:val="single" w:sz="4" w:space="0" w:color="000000"/>
              <w:right w:val="single" w:sz="4" w:space="0" w:color="000000"/>
            </w:tcBorders>
            <w:shd w:val="clear" w:color="auto" w:fill="auto"/>
            <w:vAlign w:val="bottom"/>
          </w:tcPr>
          <w:p w14:paraId="4ED7F41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1.52 g</w:t>
            </w:r>
          </w:p>
        </w:tc>
        <w:tc>
          <w:tcPr>
            <w:tcW w:w="1523" w:type="dxa"/>
            <w:tcBorders>
              <w:top w:val="nil"/>
              <w:left w:val="nil"/>
              <w:bottom w:val="single" w:sz="4" w:space="0" w:color="000000"/>
              <w:right w:val="single" w:sz="4" w:space="0" w:color="000000"/>
            </w:tcBorders>
            <w:shd w:val="clear" w:color="auto" w:fill="auto"/>
            <w:vAlign w:val="bottom"/>
          </w:tcPr>
          <w:p w14:paraId="4DBCE429"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0.80 g</w:t>
            </w:r>
          </w:p>
        </w:tc>
      </w:tr>
      <w:tr w:rsidR="00CA20B8" w14:paraId="083EF3EA" w14:textId="77777777">
        <w:trPr>
          <w:trHeight w:val="315"/>
          <w:jc w:val="center"/>
        </w:trPr>
        <w:tc>
          <w:tcPr>
            <w:tcW w:w="769" w:type="dxa"/>
            <w:tcBorders>
              <w:top w:val="nil"/>
              <w:left w:val="single" w:sz="4" w:space="0" w:color="000000"/>
              <w:bottom w:val="single" w:sz="4" w:space="0" w:color="000000"/>
              <w:right w:val="single" w:sz="4" w:space="0" w:color="000000"/>
            </w:tcBorders>
            <w:shd w:val="clear" w:color="auto" w:fill="auto"/>
            <w:vAlign w:val="bottom"/>
          </w:tcPr>
          <w:p w14:paraId="5D99DA2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2181" w:type="dxa"/>
            <w:tcBorders>
              <w:top w:val="nil"/>
              <w:left w:val="nil"/>
              <w:bottom w:val="single" w:sz="4" w:space="0" w:color="000000"/>
              <w:right w:val="single" w:sz="4" w:space="0" w:color="000000"/>
            </w:tcBorders>
            <w:shd w:val="clear" w:color="auto" w:fill="auto"/>
            <w:vAlign w:val="bottom"/>
          </w:tcPr>
          <w:p w14:paraId="725210C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North </w:t>
            </w:r>
            <w:proofErr w:type="spellStart"/>
            <w:r>
              <w:rPr>
                <w:rFonts w:eastAsia="Times New Roman" w:cs="Times New Roman"/>
                <w:color w:val="000000"/>
                <w:sz w:val="20"/>
                <w:szCs w:val="20"/>
              </w:rPr>
              <w:t>Pagai</w:t>
            </w:r>
            <w:proofErr w:type="spellEnd"/>
          </w:p>
        </w:tc>
        <w:tc>
          <w:tcPr>
            <w:tcW w:w="1565" w:type="dxa"/>
            <w:tcBorders>
              <w:top w:val="nil"/>
              <w:left w:val="nil"/>
              <w:bottom w:val="single" w:sz="4" w:space="0" w:color="000000"/>
              <w:right w:val="single" w:sz="4" w:space="0" w:color="000000"/>
            </w:tcBorders>
            <w:shd w:val="clear" w:color="auto" w:fill="auto"/>
            <w:vAlign w:val="bottom"/>
          </w:tcPr>
          <w:p w14:paraId="515ABEF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1.17 g</w:t>
            </w:r>
          </w:p>
        </w:tc>
        <w:tc>
          <w:tcPr>
            <w:tcW w:w="1523" w:type="dxa"/>
            <w:tcBorders>
              <w:top w:val="nil"/>
              <w:left w:val="nil"/>
              <w:bottom w:val="single" w:sz="4" w:space="0" w:color="000000"/>
              <w:right w:val="single" w:sz="4" w:space="0" w:color="000000"/>
            </w:tcBorders>
            <w:shd w:val="clear" w:color="auto" w:fill="auto"/>
            <w:vAlign w:val="bottom"/>
          </w:tcPr>
          <w:p w14:paraId="215D02BE"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0.80 g</w:t>
            </w:r>
          </w:p>
        </w:tc>
      </w:tr>
      <w:tr w:rsidR="00CA20B8" w14:paraId="7B5E21E7" w14:textId="77777777">
        <w:trPr>
          <w:trHeight w:val="315"/>
          <w:jc w:val="center"/>
        </w:trPr>
        <w:tc>
          <w:tcPr>
            <w:tcW w:w="769" w:type="dxa"/>
            <w:tcBorders>
              <w:top w:val="nil"/>
              <w:left w:val="single" w:sz="4" w:space="0" w:color="000000"/>
              <w:bottom w:val="single" w:sz="4" w:space="0" w:color="000000"/>
              <w:right w:val="single" w:sz="4" w:space="0" w:color="000000"/>
            </w:tcBorders>
            <w:shd w:val="clear" w:color="auto" w:fill="auto"/>
            <w:vAlign w:val="bottom"/>
          </w:tcPr>
          <w:p w14:paraId="72201705"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2181" w:type="dxa"/>
            <w:tcBorders>
              <w:top w:val="nil"/>
              <w:left w:val="nil"/>
              <w:bottom w:val="single" w:sz="4" w:space="0" w:color="000000"/>
              <w:right w:val="single" w:sz="4" w:space="0" w:color="000000"/>
            </w:tcBorders>
            <w:shd w:val="clear" w:color="auto" w:fill="auto"/>
            <w:vAlign w:val="bottom"/>
          </w:tcPr>
          <w:p w14:paraId="542011C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West </w:t>
            </w:r>
            <w:proofErr w:type="spellStart"/>
            <w:r>
              <w:rPr>
                <w:rFonts w:eastAsia="Times New Roman" w:cs="Times New Roman"/>
                <w:color w:val="000000"/>
                <w:sz w:val="20"/>
                <w:szCs w:val="20"/>
              </w:rPr>
              <w:t>Siberut</w:t>
            </w:r>
            <w:proofErr w:type="spellEnd"/>
          </w:p>
        </w:tc>
        <w:tc>
          <w:tcPr>
            <w:tcW w:w="1565" w:type="dxa"/>
            <w:tcBorders>
              <w:top w:val="nil"/>
              <w:left w:val="nil"/>
              <w:bottom w:val="single" w:sz="4" w:space="0" w:color="000000"/>
              <w:right w:val="single" w:sz="4" w:space="0" w:color="000000"/>
            </w:tcBorders>
            <w:shd w:val="clear" w:color="auto" w:fill="auto"/>
            <w:vAlign w:val="bottom"/>
          </w:tcPr>
          <w:p w14:paraId="6D57D065"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2.24 g</w:t>
            </w:r>
          </w:p>
        </w:tc>
        <w:tc>
          <w:tcPr>
            <w:tcW w:w="1523" w:type="dxa"/>
            <w:tcBorders>
              <w:top w:val="nil"/>
              <w:left w:val="nil"/>
              <w:bottom w:val="single" w:sz="4" w:space="0" w:color="000000"/>
              <w:right w:val="single" w:sz="4" w:space="0" w:color="000000"/>
            </w:tcBorders>
            <w:shd w:val="clear" w:color="auto" w:fill="auto"/>
            <w:vAlign w:val="bottom"/>
          </w:tcPr>
          <w:p w14:paraId="5CE2943F"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1.17 g</w:t>
            </w:r>
          </w:p>
        </w:tc>
      </w:tr>
      <w:tr w:rsidR="00CA20B8" w14:paraId="4F87B7A7" w14:textId="77777777">
        <w:trPr>
          <w:trHeight w:val="315"/>
          <w:jc w:val="center"/>
        </w:trPr>
        <w:tc>
          <w:tcPr>
            <w:tcW w:w="769" w:type="dxa"/>
            <w:tcBorders>
              <w:top w:val="nil"/>
              <w:left w:val="single" w:sz="4" w:space="0" w:color="000000"/>
              <w:bottom w:val="single" w:sz="4" w:space="0" w:color="000000"/>
              <w:right w:val="single" w:sz="4" w:space="0" w:color="000000"/>
            </w:tcBorders>
            <w:shd w:val="clear" w:color="auto" w:fill="auto"/>
            <w:vAlign w:val="bottom"/>
          </w:tcPr>
          <w:p w14:paraId="6547A622"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2181" w:type="dxa"/>
            <w:tcBorders>
              <w:top w:val="nil"/>
              <w:left w:val="nil"/>
              <w:bottom w:val="single" w:sz="4" w:space="0" w:color="000000"/>
              <w:right w:val="single" w:sz="4" w:space="0" w:color="000000"/>
            </w:tcBorders>
            <w:shd w:val="clear" w:color="auto" w:fill="auto"/>
            <w:vAlign w:val="bottom"/>
          </w:tcPr>
          <w:p w14:paraId="08BD5314"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Southwest </w:t>
            </w:r>
            <w:proofErr w:type="spellStart"/>
            <w:r>
              <w:rPr>
                <w:rFonts w:eastAsia="Times New Roman" w:cs="Times New Roman"/>
                <w:color w:val="000000"/>
                <w:sz w:val="20"/>
                <w:szCs w:val="20"/>
              </w:rPr>
              <w:t>Siberut</w:t>
            </w:r>
            <w:proofErr w:type="spellEnd"/>
          </w:p>
        </w:tc>
        <w:tc>
          <w:tcPr>
            <w:tcW w:w="1565" w:type="dxa"/>
            <w:tcBorders>
              <w:top w:val="nil"/>
              <w:left w:val="nil"/>
              <w:bottom w:val="single" w:sz="4" w:space="0" w:color="000000"/>
              <w:right w:val="single" w:sz="4" w:space="0" w:color="000000"/>
            </w:tcBorders>
            <w:shd w:val="clear" w:color="auto" w:fill="auto"/>
            <w:vAlign w:val="bottom"/>
          </w:tcPr>
          <w:p w14:paraId="6228C8E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2.24 g</w:t>
            </w:r>
          </w:p>
        </w:tc>
        <w:tc>
          <w:tcPr>
            <w:tcW w:w="1523" w:type="dxa"/>
            <w:tcBorders>
              <w:top w:val="nil"/>
              <w:left w:val="nil"/>
              <w:bottom w:val="single" w:sz="4" w:space="0" w:color="000000"/>
              <w:right w:val="single" w:sz="4" w:space="0" w:color="000000"/>
            </w:tcBorders>
            <w:shd w:val="clear" w:color="auto" w:fill="auto"/>
            <w:vAlign w:val="bottom"/>
          </w:tcPr>
          <w:p w14:paraId="51AF5CC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1.52 g</w:t>
            </w:r>
          </w:p>
        </w:tc>
      </w:tr>
      <w:tr w:rsidR="00CA20B8" w14:paraId="56B4B04B" w14:textId="77777777">
        <w:trPr>
          <w:trHeight w:val="315"/>
          <w:jc w:val="center"/>
        </w:trPr>
        <w:tc>
          <w:tcPr>
            <w:tcW w:w="769" w:type="dxa"/>
            <w:tcBorders>
              <w:top w:val="nil"/>
              <w:left w:val="single" w:sz="4" w:space="0" w:color="000000"/>
              <w:bottom w:val="single" w:sz="4" w:space="0" w:color="000000"/>
              <w:right w:val="single" w:sz="4" w:space="0" w:color="000000"/>
            </w:tcBorders>
            <w:shd w:val="clear" w:color="auto" w:fill="auto"/>
            <w:vAlign w:val="bottom"/>
          </w:tcPr>
          <w:p w14:paraId="249D6EB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c>
          <w:tcPr>
            <w:tcW w:w="2181" w:type="dxa"/>
            <w:tcBorders>
              <w:top w:val="nil"/>
              <w:left w:val="nil"/>
              <w:bottom w:val="single" w:sz="4" w:space="0" w:color="000000"/>
              <w:right w:val="single" w:sz="4" w:space="0" w:color="000000"/>
            </w:tcBorders>
            <w:shd w:val="clear" w:color="auto" w:fill="auto"/>
            <w:vAlign w:val="bottom"/>
          </w:tcPr>
          <w:p w14:paraId="46AC3ACA"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 </w:t>
            </w:r>
            <w:proofErr w:type="spellStart"/>
            <w:r>
              <w:rPr>
                <w:rFonts w:eastAsia="Times New Roman" w:cs="Times New Roman"/>
                <w:color w:val="000000"/>
                <w:sz w:val="20"/>
                <w:szCs w:val="20"/>
              </w:rPr>
              <w:t>Siberut</w:t>
            </w:r>
            <w:proofErr w:type="spellEnd"/>
          </w:p>
        </w:tc>
        <w:tc>
          <w:tcPr>
            <w:tcW w:w="1565" w:type="dxa"/>
            <w:tcBorders>
              <w:top w:val="nil"/>
              <w:left w:val="nil"/>
              <w:bottom w:val="single" w:sz="4" w:space="0" w:color="000000"/>
              <w:right w:val="single" w:sz="4" w:space="0" w:color="000000"/>
            </w:tcBorders>
            <w:shd w:val="clear" w:color="auto" w:fill="auto"/>
            <w:vAlign w:val="bottom"/>
          </w:tcPr>
          <w:p w14:paraId="585843F4"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1.89 g</w:t>
            </w:r>
          </w:p>
        </w:tc>
        <w:tc>
          <w:tcPr>
            <w:tcW w:w="1523" w:type="dxa"/>
            <w:tcBorders>
              <w:top w:val="nil"/>
              <w:left w:val="nil"/>
              <w:bottom w:val="single" w:sz="4" w:space="0" w:color="000000"/>
              <w:right w:val="single" w:sz="4" w:space="0" w:color="000000"/>
            </w:tcBorders>
            <w:shd w:val="clear" w:color="auto" w:fill="auto"/>
            <w:vAlign w:val="bottom"/>
          </w:tcPr>
          <w:p w14:paraId="4D33C90C"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1.17 g</w:t>
            </w:r>
          </w:p>
        </w:tc>
      </w:tr>
      <w:tr w:rsidR="00CA20B8" w14:paraId="497216BF" w14:textId="77777777">
        <w:trPr>
          <w:trHeight w:val="315"/>
          <w:jc w:val="center"/>
        </w:trPr>
        <w:tc>
          <w:tcPr>
            <w:tcW w:w="769" w:type="dxa"/>
            <w:tcBorders>
              <w:top w:val="nil"/>
              <w:left w:val="single" w:sz="4" w:space="0" w:color="000000"/>
              <w:bottom w:val="single" w:sz="4" w:space="0" w:color="000000"/>
              <w:right w:val="single" w:sz="4" w:space="0" w:color="000000"/>
            </w:tcBorders>
            <w:shd w:val="clear" w:color="auto" w:fill="auto"/>
            <w:vAlign w:val="bottom"/>
          </w:tcPr>
          <w:p w14:paraId="6CDC0C67"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w:t>
            </w:r>
          </w:p>
        </w:tc>
        <w:tc>
          <w:tcPr>
            <w:tcW w:w="2181" w:type="dxa"/>
            <w:tcBorders>
              <w:top w:val="nil"/>
              <w:left w:val="nil"/>
              <w:bottom w:val="single" w:sz="4" w:space="0" w:color="000000"/>
              <w:right w:val="single" w:sz="4" w:space="0" w:color="000000"/>
            </w:tcBorders>
            <w:shd w:val="clear" w:color="auto" w:fill="auto"/>
            <w:vAlign w:val="bottom"/>
          </w:tcPr>
          <w:p w14:paraId="50D4BF7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Central </w:t>
            </w:r>
            <w:proofErr w:type="spellStart"/>
            <w:r>
              <w:rPr>
                <w:rFonts w:eastAsia="Times New Roman" w:cs="Times New Roman"/>
                <w:color w:val="000000"/>
                <w:sz w:val="20"/>
                <w:szCs w:val="20"/>
              </w:rPr>
              <w:t>Siberut</w:t>
            </w:r>
            <w:proofErr w:type="spellEnd"/>
          </w:p>
        </w:tc>
        <w:tc>
          <w:tcPr>
            <w:tcW w:w="1565" w:type="dxa"/>
            <w:tcBorders>
              <w:top w:val="nil"/>
              <w:left w:val="nil"/>
              <w:bottom w:val="single" w:sz="4" w:space="0" w:color="000000"/>
              <w:right w:val="single" w:sz="4" w:space="0" w:color="000000"/>
            </w:tcBorders>
            <w:shd w:val="clear" w:color="auto" w:fill="auto"/>
            <w:vAlign w:val="bottom"/>
          </w:tcPr>
          <w:p w14:paraId="0CC2B976"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1.89 g</w:t>
            </w:r>
          </w:p>
        </w:tc>
        <w:tc>
          <w:tcPr>
            <w:tcW w:w="1523" w:type="dxa"/>
            <w:tcBorders>
              <w:top w:val="nil"/>
              <w:left w:val="nil"/>
              <w:bottom w:val="single" w:sz="4" w:space="0" w:color="000000"/>
              <w:right w:val="single" w:sz="4" w:space="0" w:color="000000"/>
            </w:tcBorders>
            <w:shd w:val="clear" w:color="auto" w:fill="auto"/>
            <w:vAlign w:val="bottom"/>
          </w:tcPr>
          <w:p w14:paraId="2551AD4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1.17 g</w:t>
            </w:r>
          </w:p>
        </w:tc>
      </w:tr>
      <w:tr w:rsidR="00CA20B8" w14:paraId="3B3A3D19" w14:textId="77777777">
        <w:trPr>
          <w:trHeight w:val="315"/>
          <w:jc w:val="center"/>
        </w:trPr>
        <w:tc>
          <w:tcPr>
            <w:tcW w:w="769" w:type="dxa"/>
            <w:tcBorders>
              <w:top w:val="nil"/>
              <w:left w:val="single" w:sz="4" w:space="0" w:color="000000"/>
              <w:bottom w:val="single" w:sz="4" w:space="0" w:color="000000"/>
              <w:right w:val="single" w:sz="4" w:space="0" w:color="000000"/>
            </w:tcBorders>
            <w:shd w:val="clear" w:color="auto" w:fill="auto"/>
            <w:vAlign w:val="bottom"/>
          </w:tcPr>
          <w:p w14:paraId="38DF8AEF"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7</w:t>
            </w:r>
          </w:p>
        </w:tc>
        <w:tc>
          <w:tcPr>
            <w:tcW w:w="2181" w:type="dxa"/>
            <w:tcBorders>
              <w:top w:val="nil"/>
              <w:left w:val="nil"/>
              <w:bottom w:val="single" w:sz="4" w:space="0" w:color="000000"/>
              <w:right w:val="single" w:sz="4" w:space="0" w:color="000000"/>
            </w:tcBorders>
            <w:shd w:val="clear" w:color="auto" w:fill="auto"/>
            <w:vAlign w:val="bottom"/>
          </w:tcPr>
          <w:p w14:paraId="72E1BBBA"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North </w:t>
            </w:r>
            <w:proofErr w:type="spellStart"/>
            <w:r>
              <w:rPr>
                <w:rFonts w:eastAsia="Times New Roman" w:cs="Times New Roman"/>
                <w:color w:val="000000"/>
                <w:sz w:val="20"/>
                <w:szCs w:val="20"/>
              </w:rPr>
              <w:t>Siberut</w:t>
            </w:r>
            <w:proofErr w:type="spellEnd"/>
          </w:p>
        </w:tc>
        <w:tc>
          <w:tcPr>
            <w:tcW w:w="1565" w:type="dxa"/>
            <w:tcBorders>
              <w:top w:val="nil"/>
              <w:left w:val="nil"/>
              <w:bottom w:val="single" w:sz="4" w:space="0" w:color="000000"/>
              <w:right w:val="single" w:sz="4" w:space="0" w:color="000000"/>
            </w:tcBorders>
            <w:shd w:val="clear" w:color="auto" w:fill="auto"/>
            <w:vAlign w:val="bottom"/>
          </w:tcPr>
          <w:p w14:paraId="58EBC4A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1.89 g</w:t>
            </w:r>
          </w:p>
        </w:tc>
        <w:tc>
          <w:tcPr>
            <w:tcW w:w="1523" w:type="dxa"/>
            <w:tcBorders>
              <w:top w:val="nil"/>
              <w:left w:val="nil"/>
              <w:bottom w:val="single" w:sz="4" w:space="0" w:color="000000"/>
              <w:right w:val="single" w:sz="4" w:space="0" w:color="000000"/>
            </w:tcBorders>
            <w:shd w:val="clear" w:color="auto" w:fill="auto"/>
            <w:vAlign w:val="bottom"/>
          </w:tcPr>
          <w:p w14:paraId="67E4450F"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1.17 g</w:t>
            </w:r>
          </w:p>
        </w:tc>
      </w:tr>
      <w:tr w:rsidR="00CA20B8" w14:paraId="6DD30D2D" w14:textId="77777777">
        <w:trPr>
          <w:trHeight w:val="315"/>
          <w:jc w:val="center"/>
        </w:trPr>
        <w:tc>
          <w:tcPr>
            <w:tcW w:w="769" w:type="dxa"/>
            <w:tcBorders>
              <w:top w:val="nil"/>
              <w:left w:val="single" w:sz="4" w:space="0" w:color="000000"/>
              <w:bottom w:val="single" w:sz="4" w:space="0" w:color="000000"/>
              <w:right w:val="single" w:sz="4" w:space="0" w:color="000000"/>
            </w:tcBorders>
            <w:shd w:val="clear" w:color="auto" w:fill="auto"/>
            <w:vAlign w:val="bottom"/>
          </w:tcPr>
          <w:p w14:paraId="4446AA1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8</w:t>
            </w:r>
          </w:p>
        </w:tc>
        <w:tc>
          <w:tcPr>
            <w:tcW w:w="2181" w:type="dxa"/>
            <w:tcBorders>
              <w:top w:val="nil"/>
              <w:left w:val="nil"/>
              <w:bottom w:val="single" w:sz="4" w:space="0" w:color="000000"/>
              <w:right w:val="single" w:sz="4" w:space="0" w:color="000000"/>
            </w:tcBorders>
            <w:shd w:val="clear" w:color="auto" w:fill="auto"/>
            <w:vAlign w:val="bottom"/>
          </w:tcPr>
          <w:p w14:paraId="65F83588" w14:textId="17B7EEB2" w:rsidR="00CA20B8" w:rsidRDefault="000059C8">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w:t>
            </w:r>
            <w:r w:rsidR="003225D9">
              <w:rPr>
                <w:rFonts w:eastAsia="Times New Roman" w:cs="Times New Roman"/>
                <w:color w:val="000000"/>
                <w:sz w:val="20"/>
                <w:szCs w:val="20"/>
              </w:rPr>
              <w:t>ttitude</w:t>
            </w:r>
          </w:p>
        </w:tc>
        <w:tc>
          <w:tcPr>
            <w:tcW w:w="1565" w:type="dxa"/>
            <w:tcBorders>
              <w:top w:val="nil"/>
              <w:left w:val="nil"/>
              <w:bottom w:val="single" w:sz="4" w:space="0" w:color="000000"/>
              <w:right w:val="single" w:sz="4" w:space="0" w:color="000000"/>
            </w:tcBorders>
            <w:shd w:val="clear" w:color="auto" w:fill="auto"/>
            <w:vAlign w:val="bottom"/>
          </w:tcPr>
          <w:p w14:paraId="7E2A81F0"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1.17 g</w:t>
            </w:r>
          </w:p>
        </w:tc>
        <w:tc>
          <w:tcPr>
            <w:tcW w:w="1523" w:type="dxa"/>
            <w:tcBorders>
              <w:top w:val="nil"/>
              <w:left w:val="nil"/>
              <w:bottom w:val="single" w:sz="4" w:space="0" w:color="000000"/>
              <w:right w:val="single" w:sz="4" w:space="0" w:color="000000"/>
            </w:tcBorders>
            <w:shd w:val="clear" w:color="auto" w:fill="auto"/>
            <w:vAlign w:val="bottom"/>
          </w:tcPr>
          <w:p w14:paraId="3FC7C4B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0.80 g</w:t>
            </w:r>
          </w:p>
        </w:tc>
      </w:tr>
      <w:tr w:rsidR="00CA20B8" w14:paraId="66504BF2" w14:textId="77777777">
        <w:trPr>
          <w:trHeight w:val="315"/>
          <w:jc w:val="center"/>
        </w:trPr>
        <w:tc>
          <w:tcPr>
            <w:tcW w:w="769" w:type="dxa"/>
            <w:tcBorders>
              <w:top w:val="nil"/>
              <w:left w:val="single" w:sz="4" w:space="0" w:color="000000"/>
              <w:bottom w:val="single" w:sz="4" w:space="0" w:color="000000"/>
              <w:right w:val="single" w:sz="4" w:space="0" w:color="000000"/>
            </w:tcBorders>
            <w:shd w:val="clear" w:color="auto" w:fill="auto"/>
            <w:vAlign w:val="bottom"/>
          </w:tcPr>
          <w:p w14:paraId="54AD6FF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9</w:t>
            </w:r>
          </w:p>
        </w:tc>
        <w:tc>
          <w:tcPr>
            <w:tcW w:w="2181" w:type="dxa"/>
            <w:tcBorders>
              <w:top w:val="nil"/>
              <w:left w:val="nil"/>
              <w:bottom w:val="single" w:sz="4" w:space="0" w:color="000000"/>
              <w:right w:val="single" w:sz="4" w:space="0" w:color="000000"/>
            </w:tcBorders>
            <w:shd w:val="clear" w:color="auto" w:fill="auto"/>
            <w:vAlign w:val="bottom"/>
          </w:tcPr>
          <w:p w14:paraId="1CADDB1C"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 </w:t>
            </w:r>
            <w:proofErr w:type="spellStart"/>
            <w:r>
              <w:rPr>
                <w:rFonts w:eastAsia="Times New Roman" w:cs="Times New Roman"/>
                <w:color w:val="000000"/>
                <w:sz w:val="20"/>
                <w:szCs w:val="20"/>
              </w:rPr>
              <w:t>Sipora</w:t>
            </w:r>
            <w:proofErr w:type="spellEnd"/>
          </w:p>
        </w:tc>
        <w:tc>
          <w:tcPr>
            <w:tcW w:w="1565" w:type="dxa"/>
            <w:tcBorders>
              <w:top w:val="nil"/>
              <w:left w:val="nil"/>
              <w:bottom w:val="single" w:sz="4" w:space="0" w:color="000000"/>
              <w:right w:val="single" w:sz="4" w:space="0" w:color="000000"/>
            </w:tcBorders>
            <w:shd w:val="clear" w:color="auto" w:fill="auto"/>
            <w:vAlign w:val="bottom"/>
          </w:tcPr>
          <w:p w14:paraId="54BB7C5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1.89 g</w:t>
            </w:r>
          </w:p>
        </w:tc>
        <w:tc>
          <w:tcPr>
            <w:tcW w:w="1523" w:type="dxa"/>
            <w:tcBorders>
              <w:top w:val="nil"/>
              <w:left w:val="nil"/>
              <w:bottom w:val="single" w:sz="4" w:space="0" w:color="000000"/>
              <w:right w:val="single" w:sz="4" w:space="0" w:color="000000"/>
            </w:tcBorders>
            <w:shd w:val="clear" w:color="auto" w:fill="auto"/>
            <w:vAlign w:val="bottom"/>
          </w:tcPr>
          <w:p w14:paraId="379EE8A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1.17 g</w:t>
            </w:r>
          </w:p>
        </w:tc>
      </w:tr>
      <w:tr w:rsidR="00CA20B8" w14:paraId="429E8C1A" w14:textId="77777777">
        <w:trPr>
          <w:trHeight w:val="315"/>
          <w:jc w:val="center"/>
        </w:trPr>
        <w:tc>
          <w:tcPr>
            <w:tcW w:w="769" w:type="dxa"/>
            <w:tcBorders>
              <w:top w:val="nil"/>
              <w:left w:val="single" w:sz="4" w:space="0" w:color="000000"/>
              <w:bottom w:val="single" w:sz="4" w:space="0" w:color="000000"/>
              <w:right w:val="single" w:sz="4" w:space="0" w:color="000000"/>
            </w:tcBorders>
            <w:shd w:val="clear" w:color="auto" w:fill="auto"/>
            <w:vAlign w:val="bottom"/>
          </w:tcPr>
          <w:p w14:paraId="317E77BA"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w:t>
            </w:r>
          </w:p>
        </w:tc>
        <w:tc>
          <w:tcPr>
            <w:tcW w:w="2181" w:type="dxa"/>
            <w:tcBorders>
              <w:top w:val="nil"/>
              <w:left w:val="nil"/>
              <w:bottom w:val="single" w:sz="4" w:space="0" w:color="000000"/>
              <w:right w:val="single" w:sz="4" w:space="0" w:color="000000"/>
            </w:tcBorders>
            <w:shd w:val="clear" w:color="auto" w:fill="auto"/>
            <w:vAlign w:val="bottom"/>
          </w:tcPr>
          <w:p w14:paraId="5BC3FB3A"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North Cyprus</w:t>
            </w:r>
          </w:p>
        </w:tc>
        <w:tc>
          <w:tcPr>
            <w:tcW w:w="1565" w:type="dxa"/>
            <w:tcBorders>
              <w:top w:val="nil"/>
              <w:left w:val="nil"/>
              <w:bottom w:val="single" w:sz="4" w:space="0" w:color="000000"/>
              <w:right w:val="single" w:sz="4" w:space="0" w:color="000000"/>
            </w:tcBorders>
            <w:shd w:val="clear" w:color="auto" w:fill="auto"/>
            <w:vAlign w:val="bottom"/>
          </w:tcPr>
          <w:p w14:paraId="0889C60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1.89 g</w:t>
            </w:r>
          </w:p>
        </w:tc>
        <w:tc>
          <w:tcPr>
            <w:tcW w:w="1523" w:type="dxa"/>
            <w:tcBorders>
              <w:top w:val="nil"/>
              <w:left w:val="nil"/>
              <w:bottom w:val="single" w:sz="4" w:space="0" w:color="000000"/>
              <w:right w:val="single" w:sz="4" w:space="0" w:color="000000"/>
            </w:tcBorders>
            <w:shd w:val="clear" w:color="auto" w:fill="auto"/>
            <w:vAlign w:val="bottom"/>
          </w:tcPr>
          <w:p w14:paraId="287F9C5E" w14:textId="77777777" w:rsidR="00CA20B8" w:rsidRDefault="003225D9">
            <w:pPr>
              <w:keepNext/>
              <w:spacing w:after="0" w:line="240" w:lineRule="auto"/>
              <w:jc w:val="center"/>
              <w:rPr>
                <w:rFonts w:eastAsia="Times New Roman" w:cs="Times New Roman"/>
                <w:color w:val="000000"/>
                <w:sz w:val="20"/>
                <w:szCs w:val="20"/>
              </w:rPr>
            </w:pPr>
            <w:r>
              <w:rPr>
                <w:rFonts w:eastAsia="Times New Roman" w:cs="Times New Roman"/>
                <w:color w:val="000000"/>
                <w:sz w:val="20"/>
                <w:szCs w:val="20"/>
              </w:rPr>
              <w:t>1.17 g</w:t>
            </w:r>
          </w:p>
        </w:tc>
      </w:tr>
    </w:tbl>
    <w:p w14:paraId="5771A5FF" w14:textId="77777777" w:rsidR="00CA20B8" w:rsidRDefault="003225D9">
      <w:pPr>
        <w:pStyle w:val="Caption"/>
        <w:jc w:val="center"/>
        <w:rPr>
          <w:rFonts w:cs="Times New Roman"/>
          <w:color w:val="000000"/>
          <w:sz w:val="20"/>
          <w:szCs w:val="20"/>
          <w:lang w:val="id-ID"/>
        </w:rPr>
      </w:pPr>
      <w:r>
        <w:rPr>
          <w:rFonts w:cs="Times New Roman"/>
          <w:b w:val="0"/>
          <w:color w:val="auto"/>
          <w:sz w:val="20"/>
          <w:szCs w:val="20"/>
        </w:rPr>
        <w:t>Table 1</w:t>
      </w:r>
      <w:r>
        <w:rPr>
          <w:rFonts w:eastAsia="Times New Roman" w:cs="Times New Roman"/>
          <w:b w:val="0"/>
          <w:color w:val="auto"/>
          <w:sz w:val="20"/>
          <w:szCs w:val="20"/>
        </w:rPr>
        <w:t>. Acceleration of bedrock at T = 0 seconds</w:t>
      </w:r>
    </w:p>
    <w:p w14:paraId="3DFA1EB3" w14:textId="50343483" w:rsidR="00CA20B8" w:rsidRDefault="003225D9">
      <w:pPr>
        <w:spacing w:after="0"/>
        <w:ind w:firstLine="432"/>
        <w:jc w:val="both"/>
        <w:rPr>
          <w:rFonts w:eastAsia="Times New Roman" w:cs="Times New Roman"/>
          <w:sz w:val="20"/>
          <w:szCs w:val="20"/>
        </w:rPr>
      </w:pPr>
      <w:r>
        <w:rPr>
          <w:rFonts w:eastAsia="Times New Roman" w:cs="Times New Roman"/>
          <w:sz w:val="20"/>
          <w:szCs w:val="20"/>
        </w:rPr>
        <w:lastRenderedPageBreak/>
        <w:t xml:space="preserve">Based on the analysis </w:t>
      </w:r>
      <w:r>
        <w:rPr>
          <w:rFonts w:eastAsia="Times New Roman" w:cs="Times New Roman"/>
          <w:sz w:val="20"/>
          <w:szCs w:val="20"/>
        </w:rPr>
        <w:t>results from Table 1</w:t>
      </w:r>
      <w:r>
        <w:rPr>
          <w:rFonts w:eastAsia="Times New Roman" w:cs="Times New Roman"/>
          <w:sz w:val="20"/>
          <w:szCs w:val="20"/>
        </w:rPr>
        <w:t xml:space="preserve"> probability is obtained that the maximum PGA value of 2.24 g is found </w:t>
      </w:r>
      <w:proofErr w:type="spellStart"/>
      <w:r>
        <w:rPr>
          <w:rFonts w:eastAsia="Times New Roman" w:cs="Times New Roman"/>
          <w:sz w:val="20"/>
          <w:szCs w:val="20"/>
        </w:rPr>
        <w:t>in</w:t>
      </w:r>
      <w:r>
        <w:rPr>
          <w:rFonts w:eastAsia="Times New Roman" w:cs="Times New Roman"/>
          <w:color w:val="000000"/>
          <w:sz w:val="20"/>
          <w:szCs w:val="20"/>
        </w:rPr>
        <w:t>region</w:t>
      </w:r>
      <w:proofErr w:type="spellEnd"/>
      <w:r>
        <w:rPr>
          <w:rFonts w:eastAsia="Times New Roman" w:cs="Times New Roman"/>
          <w:color w:val="000000"/>
          <w:sz w:val="20"/>
          <w:szCs w:val="20"/>
        </w:rPr>
        <w:t xml:space="preserve"> </w:t>
      </w:r>
      <w:r>
        <w:rPr>
          <w:rFonts w:eastAsia="Times New Roman" w:cs="Times New Roman"/>
          <w:sz w:val="20"/>
          <w:szCs w:val="20"/>
        </w:rPr>
        <w:t xml:space="preserve">West </w:t>
      </w:r>
      <w:proofErr w:type="spellStart"/>
      <w:r>
        <w:rPr>
          <w:rFonts w:eastAsia="Times New Roman" w:cs="Times New Roman"/>
          <w:sz w:val="20"/>
          <w:szCs w:val="20"/>
        </w:rPr>
        <w:t>Siberut</w:t>
      </w:r>
      <w:proofErr w:type="spellEnd"/>
      <w:r>
        <w:rPr>
          <w:rFonts w:eastAsia="Times New Roman" w:cs="Times New Roman"/>
          <w:sz w:val="20"/>
          <w:szCs w:val="20"/>
        </w:rPr>
        <w:t xml:space="preserve"> and Southwest </w:t>
      </w:r>
      <w:proofErr w:type="spellStart"/>
      <w:r>
        <w:rPr>
          <w:rFonts w:eastAsia="Times New Roman" w:cs="Times New Roman"/>
          <w:sz w:val="20"/>
          <w:szCs w:val="20"/>
        </w:rPr>
        <w:t>Siberut</w:t>
      </w:r>
      <w:proofErr w:type="spellEnd"/>
      <w:r>
        <w:rPr>
          <w:rFonts w:eastAsia="Times New Roman" w:cs="Times New Roman"/>
          <w:sz w:val="20"/>
          <w:szCs w:val="20"/>
        </w:rPr>
        <w:t xml:space="preserve">. As for South </w:t>
      </w:r>
      <w:proofErr w:type="spellStart"/>
      <w:r>
        <w:rPr>
          <w:rFonts w:eastAsia="Times New Roman" w:cs="Times New Roman"/>
          <w:sz w:val="20"/>
          <w:szCs w:val="20"/>
        </w:rPr>
        <w:t>Siberut</w:t>
      </w:r>
      <w:proofErr w:type="spellEnd"/>
      <w:r>
        <w:rPr>
          <w:rFonts w:eastAsia="Times New Roman" w:cs="Times New Roman"/>
          <w:sz w:val="20"/>
          <w:szCs w:val="20"/>
        </w:rPr>
        <w:t xml:space="preserve">, Central </w:t>
      </w:r>
      <w:proofErr w:type="spellStart"/>
      <w:r>
        <w:rPr>
          <w:rFonts w:eastAsia="Times New Roman" w:cs="Times New Roman"/>
          <w:sz w:val="20"/>
          <w:szCs w:val="20"/>
        </w:rPr>
        <w:t>Siberut</w:t>
      </w:r>
      <w:proofErr w:type="spellEnd"/>
      <w:r>
        <w:rPr>
          <w:rFonts w:eastAsia="Times New Roman" w:cs="Times New Roman"/>
          <w:sz w:val="20"/>
          <w:szCs w:val="20"/>
        </w:rPr>
        <w:t xml:space="preserve">, North </w:t>
      </w:r>
      <w:proofErr w:type="spellStart"/>
      <w:r>
        <w:rPr>
          <w:rFonts w:eastAsia="Times New Roman" w:cs="Times New Roman"/>
          <w:sz w:val="20"/>
          <w:szCs w:val="20"/>
        </w:rPr>
        <w:t>Siberut</w:t>
      </w:r>
      <w:proofErr w:type="spellEnd"/>
      <w:r>
        <w:rPr>
          <w:rFonts w:eastAsia="Times New Roman" w:cs="Times New Roman"/>
          <w:sz w:val="20"/>
          <w:szCs w:val="20"/>
        </w:rPr>
        <w:t xml:space="preserve">, South </w:t>
      </w:r>
      <w:proofErr w:type="spellStart"/>
      <w:r>
        <w:rPr>
          <w:rFonts w:eastAsia="Times New Roman" w:cs="Times New Roman"/>
          <w:sz w:val="20"/>
          <w:szCs w:val="20"/>
        </w:rPr>
        <w:t>Sipora</w:t>
      </w:r>
      <w:proofErr w:type="spellEnd"/>
      <w:r>
        <w:rPr>
          <w:rFonts w:eastAsia="Times New Roman" w:cs="Times New Roman"/>
          <w:sz w:val="20"/>
          <w:szCs w:val="20"/>
        </w:rPr>
        <w:t xml:space="preserve"> and North </w:t>
      </w:r>
      <w:proofErr w:type="spellStart"/>
      <w:r>
        <w:rPr>
          <w:rFonts w:eastAsia="Times New Roman" w:cs="Times New Roman"/>
          <w:sz w:val="20"/>
          <w:szCs w:val="20"/>
        </w:rPr>
        <w:t>Sipora</w:t>
      </w:r>
      <w:proofErr w:type="spellEnd"/>
      <w:r>
        <w:rPr>
          <w:rFonts w:eastAsia="Times New Roman" w:cs="Times New Roman"/>
          <w:sz w:val="20"/>
          <w:szCs w:val="20"/>
        </w:rPr>
        <w:t xml:space="preserve"> 1.17 g – 1.89 g, North </w:t>
      </w:r>
      <w:proofErr w:type="spellStart"/>
      <w:r>
        <w:rPr>
          <w:rFonts w:eastAsia="Times New Roman" w:cs="Times New Roman"/>
          <w:sz w:val="20"/>
          <w:szCs w:val="20"/>
        </w:rPr>
        <w:t>Pagai</w:t>
      </w:r>
      <w:proofErr w:type="spellEnd"/>
      <w:r>
        <w:rPr>
          <w:rFonts w:eastAsia="Times New Roman" w:cs="Times New Roman"/>
          <w:sz w:val="20"/>
          <w:szCs w:val="20"/>
        </w:rPr>
        <w:t xml:space="preserve"> and </w:t>
      </w:r>
      <w:proofErr w:type="spellStart"/>
      <w:r>
        <w:rPr>
          <w:rFonts w:eastAsia="Times New Roman" w:cs="Times New Roman"/>
          <w:sz w:val="20"/>
          <w:szCs w:val="20"/>
        </w:rPr>
        <w:t>Sikakap</w:t>
      </w:r>
      <w:proofErr w:type="spellEnd"/>
      <w:r>
        <w:rPr>
          <w:rFonts w:eastAsia="Times New Roman" w:cs="Times New Roman"/>
          <w:sz w:val="20"/>
          <w:szCs w:val="20"/>
        </w:rPr>
        <w:t xml:space="preserve"> 0.80 g – 1.17 g. Small maximum PGA of 0.80 g – 1.52 g, namely the South </w:t>
      </w:r>
      <w:proofErr w:type="spellStart"/>
      <w:r>
        <w:rPr>
          <w:rFonts w:eastAsia="Times New Roman" w:cs="Times New Roman"/>
          <w:sz w:val="20"/>
          <w:szCs w:val="20"/>
        </w:rPr>
        <w:t>Pagai</w:t>
      </w:r>
      <w:proofErr w:type="spellEnd"/>
      <w:r>
        <w:rPr>
          <w:rFonts w:eastAsia="Times New Roman" w:cs="Times New Roman"/>
          <w:sz w:val="20"/>
          <w:szCs w:val="20"/>
        </w:rPr>
        <w:t xml:space="preserve"> area. </w:t>
      </w:r>
    </w:p>
    <w:p w14:paraId="3F78848E" w14:textId="65EB61D3" w:rsidR="00CA20B8" w:rsidRDefault="003225D9">
      <w:pPr>
        <w:spacing w:after="0"/>
        <w:ind w:firstLine="432"/>
        <w:jc w:val="both"/>
        <w:rPr>
          <w:rFonts w:eastAsia="Times New Roman" w:cs="Times New Roman"/>
          <w:sz w:val="20"/>
          <w:szCs w:val="20"/>
        </w:rPr>
      </w:pPr>
      <w:r>
        <w:rPr>
          <w:rFonts w:eastAsia="Times New Roman" w:cs="Times New Roman"/>
          <w:sz w:val="20"/>
          <w:szCs w:val="20"/>
        </w:rPr>
        <w:t xml:space="preserve">Based on </w:t>
      </w:r>
      <w:r w:rsidR="00DD6EEE">
        <w:rPr>
          <w:rFonts w:eastAsia="Times New Roman" w:cs="Times New Roman"/>
          <w:color w:val="000000"/>
          <w:sz w:val="20"/>
          <w:szCs w:val="20"/>
        </w:rPr>
        <w:t>Figure</w:t>
      </w:r>
      <w:r>
        <w:rPr>
          <w:rFonts w:eastAsia="Times New Roman" w:cs="Times New Roman"/>
          <w:sz w:val="20"/>
          <w:szCs w:val="20"/>
        </w:rPr>
        <w:t xml:space="preserve"> </w:t>
      </w:r>
      <w:r w:rsidR="00DD6EEE">
        <w:rPr>
          <w:rFonts w:eastAsia="Times New Roman" w:cs="Times New Roman"/>
          <w:sz w:val="20"/>
          <w:szCs w:val="20"/>
        </w:rPr>
        <w:t>3</w:t>
      </w:r>
      <w:r>
        <w:rPr>
          <w:rFonts w:eastAsia="Times New Roman" w:cs="Times New Roman"/>
          <w:sz w:val="20"/>
          <w:szCs w:val="20"/>
        </w:rPr>
        <w:t xml:space="preserve"> we can make a table of acceleration values ​​in bedrock at T = 0.2 seconds and the probability of exceeding 10% within 50 years (earthquake return period of 50 years). The resulting coefficients can be used by engineers for the design of building</w:t>
      </w:r>
      <w:r>
        <w:rPr>
          <w:rFonts w:eastAsia="Times New Roman" w:cs="Times New Roman"/>
          <w:sz w:val="20"/>
          <w:szCs w:val="20"/>
        </w:rPr>
        <w:t xml:space="preserve"> structures or buildings. From Picture2. can be made a table and can be seen in the </w:t>
      </w:r>
      <w:r w:rsidR="00DD6EEE">
        <w:rPr>
          <w:rFonts w:eastAsia="Times New Roman" w:cs="Times New Roman"/>
          <w:sz w:val="20"/>
          <w:szCs w:val="20"/>
        </w:rPr>
        <w:t>T</w:t>
      </w:r>
      <w:r>
        <w:rPr>
          <w:rFonts w:eastAsia="Times New Roman" w:cs="Times New Roman"/>
          <w:sz w:val="20"/>
          <w:szCs w:val="20"/>
        </w:rPr>
        <w:t>able</w:t>
      </w:r>
      <w:r>
        <w:rPr>
          <w:rFonts w:eastAsia="Times New Roman" w:cs="Times New Roman"/>
          <w:sz w:val="20"/>
          <w:szCs w:val="20"/>
        </w:rPr>
        <w:t>2.</w:t>
      </w:r>
    </w:p>
    <w:p w14:paraId="0D821906" w14:textId="77777777" w:rsidR="00CA20B8" w:rsidRDefault="00CA20B8">
      <w:pPr>
        <w:spacing w:after="0"/>
        <w:ind w:firstLine="432"/>
        <w:jc w:val="both"/>
        <w:rPr>
          <w:rFonts w:eastAsia="Times New Roman" w:cs="Times New Roman"/>
          <w:sz w:val="20"/>
          <w:szCs w:val="20"/>
        </w:rPr>
      </w:pPr>
    </w:p>
    <w:tbl>
      <w:tblPr>
        <w:tblStyle w:val="Style32"/>
        <w:tblW w:w="6223" w:type="dxa"/>
        <w:jc w:val="center"/>
        <w:tblInd w:w="0" w:type="dxa"/>
        <w:tblLayout w:type="fixed"/>
        <w:tblLook w:val="04A0" w:firstRow="1" w:lastRow="0" w:firstColumn="1" w:lastColumn="0" w:noHBand="0" w:noVBand="1"/>
      </w:tblPr>
      <w:tblGrid>
        <w:gridCol w:w="645"/>
        <w:gridCol w:w="2305"/>
        <w:gridCol w:w="1656"/>
        <w:gridCol w:w="1617"/>
      </w:tblGrid>
      <w:tr w:rsidR="00CA20B8" w14:paraId="36C8626D" w14:textId="77777777">
        <w:trPr>
          <w:trHeight w:val="315"/>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06C210"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w:t>
            </w:r>
          </w:p>
        </w:tc>
        <w:tc>
          <w:tcPr>
            <w:tcW w:w="2305" w:type="dxa"/>
            <w:tcBorders>
              <w:top w:val="single" w:sz="4" w:space="0" w:color="000000"/>
              <w:left w:val="nil"/>
              <w:bottom w:val="single" w:sz="4" w:space="0" w:color="000000"/>
              <w:right w:val="single" w:sz="4" w:space="0" w:color="000000"/>
            </w:tcBorders>
            <w:shd w:val="clear" w:color="auto" w:fill="auto"/>
            <w:vAlign w:val="bottom"/>
          </w:tcPr>
          <w:p w14:paraId="454FB335"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Region</w:t>
            </w:r>
          </w:p>
        </w:tc>
        <w:tc>
          <w:tcPr>
            <w:tcW w:w="1656" w:type="dxa"/>
            <w:tcBorders>
              <w:top w:val="single" w:sz="4" w:space="0" w:color="000000"/>
              <w:left w:val="nil"/>
              <w:bottom w:val="single" w:sz="4" w:space="0" w:color="000000"/>
              <w:right w:val="single" w:sz="4" w:space="0" w:color="000000"/>
            </w:tcBorders>
            <w:shd w:val="clear" w:color="auto" w:fill="auto"/>
            <w:vAlign w:val="bottom"/>
          </w:tcPr>
          <w:p w14:paraId="1D9AD877"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PGA Max (g)</w:t>
            </w:r>
          </w:p>
        </w:tc>
        <w:tc>
          <w:tcPr>
            <w:tcW w:w="1617" w:type="dxa"/>
            <w:tcBorders>
              <w:top w:val="single" w:sz="4" w:space="0" w:color="000000"/>
              <w:left w:val="nil"/>
              <w:bottom w:val="single" w:sz="4" w:space="0" w:color="000000"/>
              <w:right w:val="single" w:sz="4" w:space="0" w:color="000000"/>
            </w:tcBorders>
            <w:shd w:val="clear" w:color="auto" w:fill="auto"/>
            <w:vAlign w:val="bottom"/>
          </w:tcPr>
          <w:p w14:paraId="586F0966"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PGA Min (g)</w:t>
            </w:r>
          </w:p>
        </w:tc>
      </w:tr>
      <w:tr w:rsidR="00CA20B8" w14:paraId="5EAD3BD6" w14:textId="77777777">
        <w:trPr>
          <w:trHeight w:val="315"/>
          <w:jc w:val="center"/>
        </w:trPr>
        <w:tc>
          <w:tcPr>
            <w:tcW w:w="645" w:type="dxa"/>
            <w:tcBorders>
              <w:top w:val="nil"/>
              <w:left w:val="single" w:sz="4" w:space="0" w:color="000000"/>
              <w:bottom w:val="single" w:sz="4" w:space="0" w:color="000000"/>
              <w:right w:val="single" w:sz="4" w:space="0" w:color="000000"/>
            </w:tcBorders>
            <w:shd w:val="clear" w:color="auto" w:fill="auto"/>
            <w:vAlign w:val="bottom"/>
          </w:tcPr>
          <w:p w14:paraId="4074B74E"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2305" w:type="dxa"/>
            <w:tcBorders>
              <w:top w:val="nil"/>
              <w:left w:val="nil"/>
              <w:bottom w:val="single" w:sz="4" w:space="0" w:color="000000"/>
              <w:right w:val="single" w:sz="4" w:space="0" w:color="000000"/>
            </w:tcBorders>
            <w:shd w:val="clear" w:color="auto" w:fill="auto"/>
            <w:vAlign w:val="bottom"/>
          </w:tcPr>
          <w:p w14:paraId="58A8FEA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 </w:t>
            </w:r>
            <w:proofErr w:type="spellStart"/>
            <w:r>
              <w:rPr>
                <w:rFonts w:eastAsia="Times New Roman" w:cs="Times New Roman"/>
                <w:color w:val="000000"/>
                <w:sz w:val="20"/>
                <w:szCs w:val="20"/>
              </w:rPr>
              <w:t>Pagai</w:t>
            </w:r>
            <w:proofErr w:type="spellEnd"/>
          </w:p>
        </w:tc>
        <w:tc>
          <w:tcPr>
            <w:tcW w:w="1656" w:type="dxa"/>
            <w:tcBorders>
              <w:top w:val="nil"/>
              <w:left w:val="nil"/>
              <w:bottom w:val="single" w:sz="4" w:space="0" w:color="000000"/>
              <w:right w:val="single" w:sz="4" w:space="0" w:color="000000"/>
            </w:tcBorders>
            <w:shd w:val="clear" w:color="auto" w:fill="auto"/>
            <w:vAlign w:val="bottom"/>
          </w:tcPr>
          <w:p w14:paraId="663E4C45"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2.30</w:t>
            </w:r>
          </w:p>
        </w:tc>
        <w:tc>
          <w:tcPr>
            <w:tcW w:w="1617" w:type="dxa"/>
            <w:tcBorders>
              <w:top w:val="nil"/>
              <w:left w:val="nil"/>
              <w:bottom w:val="single" w:sz="4" w:space="0" w:color="000000"/>
              <w:right w:val="single" w:sz="4" w:space="0" w:color="000000"/>
            </w:tcBorders>
            <w:shd w:val="clear" w:color="auto" w:fill="auto"/>
            <w:vAlign w:val="bottom"/>
          </w:tcPr>
          <w:p w14:paraId="7F00D9B7"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2.30</w:t>
            </w:r>
          </w:p>
        </w:tc>
      </w:tr>
      <w:tr w:rsidR="00CA20B8" w14:paraId="4B68BCAF" w14:textId="77777777">
        <w:trPr>
          <w:trHeight w:val="315"/>
          <w:jc w:val="center"/>
        </w:trPr>
        <w:tc>
          <w:tcPr>
            <w:tcW w:w="645" w:type="dxa"/>
            <w:tcBorders>
              <w:top w:val="nil"/>
              <w:left w:val="single" w:sz="4" w:space="0" w:color="000000"/>
              <w:bottom w:val="single" w:sz="4" w:space="0" w:color="000000"/>
              <w:right w:val="single" w:sz="4" w:space="0" w:color="000000"/>
            </w:tcBorders>
            <w:shd w:val="clear" w:color="auto" w:fill="auto"/>
            <w:vAlign w:val="bottom"/>
          </w:tcPr>
          <w:p w14:paraId="36DD7269"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2305" w:type="dxa"/>
            <w:tcBorders>
              <w:top w:val="nil"/>
              <w:left w:val="nil"/>
              <w:bottom w:val="single" w:sz="4" w:space="0" w:color="000000"/>
              <w:right w:val="single" w:sz="4" w:space="0" w:color="000000"/>
            </w:tcBorders>
            <w:shd w:val="clear" w:color="auto" w:fill="auto"/>
            <w:vAlign w:val="bottom"/>
          </w:tcPr>
          <w:p w14:paraId="687AEEAC"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North </w:t>
            </w:r>
            <w:proofErr w:type="spellStart"/>
            <w:r>
              <w:rPr>
                <w:rFonts w:eastAsia="Times New Roman" w:cs="Times New Roman"/>
                <w:color w:val="000000"/>
                <w:sz w:val="20"/>
                <w:szCs w:val="20"/>
              </w:rPr>
              <w:t>Pagai</w:t>
            </w:r>
            <w:proofErr w:type="spellEnd"/>
          </w:p>
        </w:tc>
        <w:tc>
          <w:tcPr>
            <w:tcW w:w="1656" w:type="dxa"/>
            <w:tcBorders>
              <w:top w:val="nil"/>
              <w:left w:val="nil"/>
              <w:bottom w:val="single" w:sz="4" w:space="0" w:color="000000"/>
              <w:right w:val="single" w:sz="4" w:space="0" w:color="000000"/>
            </w:tcBorders>
            <w:shd w:val="clear" w:color="auto" w:fill="auto"/>
            <w:vAlign w:val="bottom"/>
          </w:tcPr>
          <w:p w14:paraId="4F23361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2.86</w:t>
            </w:r>
          </w:p>
        </w:tc>
        <w:tc>
          <w:tcPr>
            <w:tcW w:w="1617" w:type="dxa"/>
            <w:tcBorders>
              <w:top w:val="nil"/>
              <w:left w:val="nil"/>
              <w:bottom w:val="single" w:sz="4" w:space="0" w:color="000000"/>
              <w:right w:val="single" w:sz="4" w:space="0" w:color="000000"/>
            </w:tcBorders>
            <w:shd w:val="clear" w:color="auto" w:fill="auto"/>
            <w:vAlign w:val="bottom"/>
          </w:tcPr>
          <w:p w14:paraId="14DF08FE"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2.30</w:t>
            </w:r>
          </w:p>
        </w:tc>
      </w:tr>
      <w:tr w:rsidR="00CA20B8" w14:paraId="722B069C" w14:textId="77777777">
        <w:trPr>
          <w:trHeight w:val="315"/>
          <w:jc w:val="center"/>
        </w:trPr>
        <w:tc>
          <w:tcPr>
            <w:tcW w:w="645" w:type="dxa"/>
            <w:tcBorders>
              <w:top w:val="nil"/>
              <w:left w:val="single" w:sz="4" w:space="0" w:color="000000"/>
              <w:bottom w:val="single" w:sz="4" w:space="0" w:color="000000"/>
              <w:right w:val="single" w:sz="4" w:space="0" w:color="000000"/>
            </w:tcBorders>
            <w:shd w:val="clear" w:color="auto" w:fill="auto"/>
            <w:vAlign w:val="bottom"/>
          </w:tcPr>
          <w:p w14:paraId="0C1B5933"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2305" w:type="dxa"/>
            <w:tcBorders>
              <w:top w:val="nil"/>
              <w:left w:val="nil"/>
              <w:bottom w:val="single" w:sz="4" w:space="0" w:color="000000"/>
              <w:right w:val="single" w:sz="4" w:space="0" w:color="000000"/>
            </w:tcBorders>
            <w:shd w:val="clear" w:color="auto" w:fill="auto"/>
            <w:vAlign w:val="bottom"/>
          </w:tcPr>
          <w:p w14:paraId="1039A1E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West </w:t>
            </w:r>
            <w:proofErr w:type="spellStart"/>
            <w:r>
              <w:rPr>
                <w:rFonts w:eastAsia="Times New Roman" w:cs="Times New Roman"/>
                <w:color w:val="000000"/>
                <w:sz w:val="20"/>
                <w:szCs w:val="20"/>
              </w:rPr>
              <w:t>Siberut</w:t>
            </w:r>
            <w:proofErr w:type="spellEnd"/>
          </w:p>
        </w:tc>
        <w:tc>
          <w:tcPr>
            <w:tcW w:w="1656" w:type="dxa"/>
            <w:tcBorders>
              <w:top w:val="nil"/>
              <w:left w:val="nil"/>
              <w:bottom w:val="single" w:sz="4" w:space="0" w:color="000000"/>
              <w:right w:val="single" w:sz="4" w:space="0" w:color="000000"/>
            </w:tcBorders>
            <w:shd w:val="clear" w:color="auto" w:fill="auto"/>
            <w:vAlign w:val="bottom"/>
          </w:tcPr>
          <w:p w14:paraId="0E05642E"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3.70</w:t>
            </w:r>
          </w:p>
        </w:tc>
        <w:tc>
          <w:tcPr>
            <w:tcW w:w="1617" w:type="dxa"/>
            <w:tcBorders>
              <w:top w:val="nil"/>
              <w:left w:val="nil"/>
              <w:bottom w:val="single" w:sz="4" w:space="0" w:color="000000"/>
              <w:right w:val="single" w:sz="4" w:space="0" w:color="000000"/>
            </w:tcBorders>
            <w:shd w:val="clear" w:color="auto" w:fill="auto"/>
            <w:vAlign w:val="bottom"/>
          </w:tcPr>
          <w:p w14:paraId="7FE0E7D6"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3.14</w:t>
            </w:r>
          </w:p>
        </w:tc>
      </w:tr>
      <w:tr w:rsidR="00CA20B8" w14:paraId="6C804A11" w14:textId="77777777">
        <w:trPr>
          <w:trHeight w:val="315"/>
          <w:jc w:val="center"/>
        </w:trPr>
        <w:tc>
          <w:tcPr>
            <w:tcW w:w="645" w:type="dxa"/>
            <w:tcBorders>
              <w:top w:val="nil"/>
              <w:left w:val="single" w:sz="4" w:space="0" w:color="000000"/>
              <w:bottom w:val="single" w:sz="4" w:space="0" w:color="000000"/>
              <w:right w:val="single" w:sz="4" w:space="0" w:color="000000"/>
            </w:tcBorders>
            <w:shd w:val="clear" w:color="auto" w:fill="auto"/>
            <w:vAlign w:val="bottom"/>
          </w:tcPr>
          <w:p w14:paraId="77A970E6"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2305" w:type="dxa"/>
            <w:tcBorders>
              <w:top w:val="nil"/>
              <w:left w:val="nil"/>
              <w:bottom w:val="single" w:sz="4" w:space="0" w:color="000000"/>
              <w:right w:val="single" w:sz="4" w:space="0" w:color="000000"/>
            </w:tcBorders>
            <w:shd w:val="clear" w:color="auto" w:fill="auto"/>
            <w:vAlign w:val="bottom"/>
          </w:tcPr>
          <w:p w14:paraId="3A5D2CDA"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Southwest </w:t>
            </w:r>
            <w:proofErr w:type="spellStart"/>
            <w:r>
              <w:rPr>
                <w:rFonts w:eastAsia="Times New Roman" w:cs="Times New Roman"/>
                <w:color w:val="000000"/>
                <w:sz w:val="20"/>
                <w:szCs w:val="20"/>
              </w:rPr>
              <w:t>Siberut</w:t>
            </w:r>
            <w:proofErr w:type="spellEnd"/>
          </w:p>
        </w:tc>
        <w:tc>
          <w:tcPr>
            <w:tcW w:w="1656" w:type="dxa"/>
            <w:tcBorders>
              <w:top w:val="nil"/>
              <w:left w:val="nil"/>
              <w:bottom w:val="single" w:sz="4" w:space="0" w:color="000000"/>
              <w:right w:val="single" w:sz="4" w:space="0" w:color="000000"/>
            </w:tcBorders>
            <w:shd w:val="clear" w:color="auto" w:fill="auto"/>
            <w:vAlign w:val="bottom"/>
          </w:tcPr>
          <w:p w14:paraId="238E866E"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3.70</w:t>
            </w:r>
          </w:p>
        </w:tc>
        <w:tc>
          <w:tcPr>
            <w:tcW w:w="1617" w:type="dxa"/>
            <w:tcBorders>
              <w:top w:val="nil"/>
              <w:left w:val="nil"/>
              <w:bottom w:val="single" w:sz="4" w:space="0" w:color="000000"/>
              <w:right w:val="single" w:sz="4" w:space="0" w:color="000000"/>
            </w:tcBorders>
            <w:shd w:val="clear" w:color="auto" w:fill="auto"/>
            <w:vAlign w:val="bottom"/>
          </w:tcPr>
          <w:p w14:paraId="2DC7FEA2"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3.41</w:t>
            </w:r>
          </w:p>
        </w:tc>
      </w:tr>
      <w:tr w:rsidR="00CA20B8" w14:paraId="505B2C9B" w14:textId="77777777">
        <w:trPr>
          <w:trHeight w:val="315"/>
          <w:jc w:val="center"/>
        </w:trPr>
        <w:tc>
          <w:tcPr>
            <w:tcW w:w="645" w:type="dxa"/>
            <w:tcBorders>
              <w:top w:val="nil"/>
              <w:left w:val="single" w:sz="4" w:space="0" w:color="000000"/>
              <w:bottom w:val="single" w:sz="4" w:space="0" w:color="000000"/>
              <w:right w:val="single" w:sz="4" w:space="0" w:color="000000"/>
            </w:tcBorders>
            <w:shd w:val="clear" w:color="auto" w:fill="auto"/>
            <w:vAlign w:val="bottom"/>
          </w:tcPr>
          <w:p w14:paraId="10A6576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c>
          <w:tcPr>
            <w:tcW w:w="2305" w:type="dxa"/>
            <w:tcBorders>
              <w:top w:val="nil"/>
              <w:left w:val="nil"/>
              <w:bottom w:val="single" w:sz="4" w:space="0" w:color="000000"/>
              <w:right w:val="single" w:sz="4" w:space="0" w:color="000000"/>
            </w:tcBorders>
            <w:shd w:val="clear" w:color="auto" w:fill="auto"/>
            <w:vAlign w:val="bottom"/>
          </w:tcPr>
          <w:p w14:paraId="5872D89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 </w:t>
            </w:r>
            <w:proofErr w:type="spellStart"/>
            <w:r>
              <w:rPr>
                <w:rFonts w:eastAsia="Times New Roman" w:cs="Times New Roman"/>
                <w:color w:val="000000"/>
                <w:sz w:val="20"/>
                <w:szCs w:val="20"/>
              </w:rPr>
              <w:t>Siberut</w:t>
            </w:r>
            <w:proofErr w:type="spellEnd"/>
          </w:p>
        </w:tc>
        <w:tc>
          <w:tcPr>
            <w:tcW w:w="1656" w:type="dxa"/>
            <w:tcBorders>
              <w:top w:val="nil"/>
              <w:left w:val="nil"/>
              <w:bottom w:val="single" w:sz="4" w:space="0" w:color="000000"/>
              <w:right w:val="single" w:sz="4" w:space="0" w:color="000000"/>
            </w:tcBorders>
            <w:shd w:val="clear" w:color="auto" w:fill="auto"/>
            <w:vAlign w:val="bottom"/>
          </w:tcPr>
          <w:p w14:paraId="48ECD79A"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3.70</w:t>
            </w:r>
          </w:p>
        </w:tc>
        <w:tc>
          <w:tcPr>
            <w:tcW w:w="1617" w:type="dxa"/>
            <w:tcBorders>
              <w:top w:val="nil"/>
              <w:left w:val="nil"/>
              <w:bottom w:val="single" w:sz="4" w:space="0" w:color="000000"/>
              <w:right w:val="single" w:sz="4" w:space="0" w:color="000000"/>
            </w:tcBorders>
            <w:shd w:val="clear" w:color="auto" w:fill="auto"/>
            <w:vAlign w:val="bottom"/>
          </w:tcPr>
          <w:p w14:paraId="4117FD3F"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3.41</w:t>
            </w:r>
          </w:p>
        </w:tc>
      </w:tr>
      <w:tr w:rsidR="00CA20B8" w14:paraId="40409C17" w14:textId="77777777">
        <w:trPr>
          <w:trHeight w:val="315"/>
          <w:jc w:val="center"/>
        </w:trPr>
        <w:tc>
          <w:tcPr>
            <w:tcW w:w="645" w:type="dxa"/>
            <w:tcBorders>
              <w:top w:val="nil"/>
              <w:left w:val="single" w:sz="4" w:space="0" w:color="000000"/>
              <w:bottom w:val="single" w:sz="4" w:space="0" w:color="000000"/>
              <w:right w:val="single" w:sz="4" w:space="0" w:color="000000"/>
            </w:tcBorders>
            <w:shd w:val="clear" w:color="auto" w:fill="auto"/>
            <w:vAlign w:val="bottom"/>
          </w:tcPr>
          <w:p w14:paraId="54CB2487"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w:t>
            </w:r>
          </w:p>
        </w:tc>
        <w:tc>
          <w:tcPr>
            <w:tcW w:w="2305" w:type="dxa"/>
            <w:tcBorders>
              <w:top w:val="nil"/>
              <w:left w:val="nil"/>
              <w:bottom w:val="single" w:sz="4" w:space="0" w:color="000000"/>
              <w:right w:val="single" w:sz="4" w:space="0" w:color="000000"/>
            </w:tcBorders>
            <w:shd w:val="clear" w:color="auto" w:fill="auto"/>
            <w:vAlign w:val="bottom"/>
          </w:tcPr>
          <w:p w14:paraId="1045304E"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Central </w:t>
            </w:r>
            <w:proofErr w:type="spellStart"/>
            <w:r>
              <w:rPr>
                <w:rFonts w:eastAsia="Times New Roman" w:cs="Times New Roman"/>
                <w:color w:val="000000"/>
                <w:sz w:val="20"/>
                <w:szCs w:val="20"/>
              </w:rPr>
              <w:t>Siberut</w:t>
            </w:r>
            <w:proofErr w:type="spellEnd"/>
          </w:p>
        </w:tc>
        <w:tc>
          <w:tcPr>
            <w:tcW w:w="1656" w:type="dxa"/>
            <w:tcBorders>
              <w:top w:val="nil"/>
              <w:left w:val="nil"/>
              <w:bottom w:val="single" w:sz="4" w:space="0" w:color="000000"/>
              <w:right w:val="single" w:sz="4" w:space="0" w:color="000000"/>
            </w:tcBorders>
            <w:shd w:val="clear" w:color="auto" w:fill="auto"/>
            <w:vAlign w:val="bottom"/>
          </w:tcPr>
          <w:p w14:paraId="495ACAF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3.70</w:t>
            </w:r>
          </w:p>
        </w:tc>
        <w:tc>
          <w:tcPr>
            <w:tcW w:w="1617" w:type="dxa"/>
            <w:tcBorders>
              <w:top w:val="nil"/>
              <w:left w:val="nil"/>
              <w:bottom w:val="single" w:sz="4" w:space="0" w:color="000000"/>
              <w:right w:val="single" w:sz="4" w:space="0" w:color="000000"/>
            </w:tcBorders>
            <w:shd w:val="clear" w:color="auto" w:fill="auto"/>
            <w:vAlign w:val="bottom"/>
          </w:tcPr>
          <w:p w14:paraId="3B29737F"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3.41</w:t>
            </w:r>
          </w:p>
        </w:tc>
      </w:tr>
      <w:tr w:rsidR="00CA20B8" w14:paraId="0487088C" w14:textId="77777777">
        <w:trPr>
          <w:trHeight w:val="315"/>
          <w:jc w:val="center"/>
        </w:trPr>
        <w:tc>
          <w:tcPr>
            <w:tcW w:w="645" w:type="dxa"/>
            <w:tcBorders>
              <w:top w:val="nil"/>
              <w:left w:val="single" w:sz="4" w:space="0" w:color="000000"/>
              <w:bottom w:val="single" w:sz="4" w:space="0" w:color="000000"/>
              <w:right w:val="single" w:sz="4" w:space="0" w:color="000000"/>
            </w:tcBorders>
            <w:shd w:val="clear" w:color="auto" w:fill="auto"/>
            <w:vAlign w:val="bottom"/>
          </w:tcPr>
          <w:p w14:paraId="09B0E6B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7</w:t>
            </w:r>
          </w:p>
        </w:tc>
        <w:tc>
          <w:tcPr>
            <w:tcW w:w="2305" w:type="dxa"/>
            <w:tcBorders>
              <w:top w:val="nil"/>
              <w:left w:val="nil"/>
              <w:bottom w:val="single" w:sz="4" w:space="0" w:color="000000"/>
              <w:right w:val="single" w:sz="4" w:space="0" w:color="000000"/>
            </w:tcBorders>
            <w:shd w:val="clear" w:color="auto" w:fill="auto"/>
            <w:vAlign w:val="bottom"/>
          </w:tcPr>
          <w:p w14:paraId="6290A5F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North </w:t>
            </w:r>
            <w:proofErr w:type="spellStart"/>
            <w:r>
              <w:rPr>
                <w:rFonts w:eastAsia="Times New Roman" w:cs="Times New Roman"/>
                <w:color w:val="000000"/>
                <w:sz w:val="20"/>
                <w:szCs w:val="20"/>
              </w:rPr>
              <w:t>Siberut</w:t>
            </w:r>
            <w:proofErr w:type="spellEnd"/>
          </w:p>
        </w:tc>
        <w:tc>
          <w:tcPr>
            <w:tcW w:w="1656" w:type="dxa"/>
            <w:tcBorders>
              <w:top w:val="nil"/>
              <w:left w:val="nil"/>
              <w:bottom w:val="single" w:sz="4" w:space="0" w:color="000000"/>
              <w:right w:val="single" w:sz="4" w:space="0" w:color="000000"/>
            </w:tcBorders>
            <w:shd w:val="clear" w:color="auto" w:fill="auto"/>
            <w:vAlign w:val="bottom"/>
          </w:tcPr>
          <w:p w14:paraId="623BF59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3.70</w:t>
            </w:r>
          </w:p>
        </w:tc>
        <w:tc>
          <w:tcPr>
            <w:tcW w:w="1617" w:type="dxa"/>
            <w:tcBorders>
              <w:top w:val="nil"/>
              <w:left w:val="nil"/>
              <w:bottom w:val="single" w:sz="4" w:space="0" w:color="000000"/>
              <w:right w:val="single" w:sz="4" w:space="0" w:color="000000"/>
            </w:tcBorders>
            <w:shd w:val="clear" w:color="auto" w:fill="auto"/>
            <w:vAlign w:val="bottom"/>
          </w:tcPr>
          <w:p w14:paraId="314A2555"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3.42</w:t>
            </w:r>
          </w:p>
        </w:tc>
      </w:tr>
      <w:tr w:rsidR="00CA20B8" w14:paraId="4B7E1A52" w14:textId="77777777">
        <w:trPr>
          <w:trHeight w:val="315"/>
          <w:jc w:val="center"/>
        </w:trPr>
        <w:tc>
          <w:tcPr>
            <w:tcW w:w="645" w:type="dxa"/>
            <w:tcBorders>
              <w:top w:val="nil"/>
              <w:left w:val="single" w:sz="4" w:space="0" w:color="000000"/>
              <w:bottom w:val="single" w:sz="4" w:space="0" w:color="000000"/>
              <w:right w:val="single" w:sz="4" w:space="0" w:color="000000"/>
            </w:tcBorders>
            <w:shd w:val="clear" w:color="auto" w:fill="auto"/>
            <w:vAlign w:val="bottom"/>
          </w:tcPr>
          <w:p w14:paraId="4B5F8E1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8</w:t>
            </w:r>
          </w:p>
        </w:tc>
        <w:tc>
          <w:tcPr>
            <w:tcW w:w="2305" w:type="dxa"/>
            <w:tcBorders>
              <w:top w:val="nil"/>
              <w:left w:val="nil"/>
              <w:bottom w:val="single" w:sz="4" w:space="0" w:color="000000"/>
              <w:right w:val="single" w:sz="4" w:space="0" w:color="000000"/>
            </w:tcBorders>
            <w:shd w:val="clear" w:color="auto" w:fill="auto"/>
            <w:vAlign w:val="bottom"/>
          </w:tcPr>
          <w:p w14:paraId="2BDB0124"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attitude</w:t>
            </w:r>
          </w:p>
        </w:tc>
        <w:tc>
          <w:tcPr>
            <w:tcW w:w="1656" w:type="dxa"/>
            <w:tcBorders>
              <w:top w:val="nil"/>
              <w:left w:val="nil"/>
              <w:bottom w:val="single" w:sz="4" w:space="0" w:color="000000"/>
              <w:right w:val="single" w:sz="4" w:space="0" w:color="000000"/>
            </w:tcBorders>
            <w:shd w:val="clear" w:color="auto" w:fill="auto"/>
            <w:vAlign w:val="bottom"/>
          </w:tcPr>
          <w:p w14:paraId="0BC7946E"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2.30</w:t>
            </w:r>
          </w:p>
        </w:tc>
        <w:tc>
          <w:tcPr>
            <w:tcW w:w="1617" w:type="dxa"/>
            <w:tcBorders>
              <w:top w:val="nil"/>
              <w:left w:val="nil"/>
              <w:bottom w:val="single" w:sz="4" w:space="0" w:color="000000"/>
              <w:right w:val="single" w:sz="4" w:space="0" w:color="000000"/>
            </w:tcBorders>
            <w:shd w:val="clear" w:color="auto" w:fill="auto"/>
            <w:vAlign w:val="bottom"/>
          </w:tcPr>
          <w:p w14:paraId="0295E4F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2.30</w:t>
            </w:r>
          </w:p>
        </w:tc>
      </w:tr>
      <w:tr w:rsidR="00CA20B8" w14:paraId="2554FE7F" w14:textId="77777777">
        <w:trPr>
          <w:trHeight w:val="315"/>
          <w:jc w:val="center"/>
        </w:trPr>
        <w:tc>
          <w:tcPr>
            <w:tcW w:w="645" w:type="dxa"/>
            <w:tcBorders>
              <w:top w:val="nil"/>
              <w:left w:val="single" w:sz="4" w:space="0" w:color="000000"/>
              <w:bottom w:val="single" w:sz="4" w:space="0" w:color="000000"/>
              <w:right w:val="single" w:sz="4" w:space="0" w:color="000000"/>
            </w:tcBorders>
            <w:shd w:val="clear" w:color="auto" w:fill="auto"/>
            <w:vAlign w:val="bottom"/>
          </w:tcPr>
          <w:p w14:paraId="3FC48AE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9</w:t>
            </w:r>
          </w:p>
        </w:tc>
        <w:tc>
          <w:tcPr>
            <w:tcW w:w="2305" w:type="dxa"/>
            <w:tcBorders>
              <w:top w:val="nil"/>
              <w:left w:val="nil"/>
              <w:bottom w:val="single" w:sz="4" w:space="0" w:color="000000"/>
              <w:right w:val="single" w:sz="4" w:space="0" w:color="000000"/>
            </w:tcBorders>
            <w:shd w:val="clear" w:color="auto" w:fill="auto"/>
            <w:vAlign w:val="bottom"/>
          </w:tcPr>
          <w:p w14:paraId="72121CA7"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 </w:t>
            </w:r>
            <w:proofErr w:type="spellStart"/>
            <w:r>
              <w:rPr>
                <w:rFonts w:eastAsia="Times New Roman" w:cs="Times New Roman"/>
                <w:color w:val="000000"/>
                <w:sz w:val="20"/>
                <w:szCs w:val="20"/>
              </w:rPr>
              <w:t>Sipora</w:t>
            </w:r>
            <w:proofErr w:type="spellEnd"/>
          </w:p>
        </w:tc>
        <w:tc>
          <w:tcPr>
            <w:tcW w:w="1656" w:type="dxa"/>
            <w:tcBorders>
              <w:top w:val="nil"/>
              <w:left w:val="nil"/>
              <w:bottom w:val="single" w:sz="4" w:space="0" w:color="000000"/>
              <w:right w:val="single" w:sz="4" w:space="0" w:color="000000"/>
            </w:tcBorders>
            <w:shd w:val="clear" w:color="auto" w:fill="auto"/>
            <w:vAlign w:val="bottom"/>
          </w:tcPr>
          <w:p w14:paraId="3BE23737"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3.70</w:t>
            </w:r>
          </w:p>
        </w:tc>
        <w:tc>
          <w:tcPr>
            <w:tcW w:w="1617" w:type="dxa"/>
            <w:tcBorders>
              <w:top w:val="nil"/>
              <w:left w:val="nil"/>
              <w:bottom w:val="single" w:sz="4" w:space="0" w:color="000000"/>
              <w:right w:val="single" w:sz="4" w:space="0" w:color="000000"/>
            </w:tcBorders>
            <w:shd w:val="clear" w:color="auto" w:fill="auto"/>
            <w:vAlign w:val="bottom"/>
          </w:tcPr>
          <w:p w14:paraId="706D1F4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3.13</w:t>
            </w:r>
          </w:p>
        </w:tc>
      </w:tr>
      <w:tr w:rsidR="00CA20B8" w14:paraId="34531865" w14:textId="77777777">
        <w:trPr>
          <w:trHeight w:val="315"/>
          <w:jc w:val="center"/>
        </w:trPr>
        <w:tc>
          <w:tcPr>
            <w:tcW w:w="645" w:type="dxa"/>
            <w:tcBorders>
              <w:top w:val="nil"/>
              <w:left w:val="single" w:sz="4" w:space="0" w:color="000000"/>
              <w:bottom w:val="single" w:sz="4" w:space="0" w:color="000000"/>
              <w:right w:val="single" w:sz="4" w:space="0" w:color="000000"/>
            </w:tcBorders>
            <w:shd w:val="clear" w:color="auto" w:fill="auto"/>
            <w:vAlign w:val="bottom"/>
          </w:tcPr>
          <w:p w14:paraId="48B4079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w:t>
            </w:r>
          </w:p>
        </w:tc>
        <w:tc>
          <w:tcPr>
            <w:tcW w:w="2305" w:type="dxa"/>
            <w:tcBorders>
              <w:top w:val="nil"/>
              <w:left w:val="nil"/>
              <w:bottom w:val="single" w:sz="4" w:space="0" w:color="000000"/>
              <w:right w:val="single" w:sz="4" w:space="0" w:color="000000"/>
            </w:tcBorders>
            <w:shd w:val="clear" w:color="auto" w:fill="auto"/>
            <w:vAlign w:val="bottom"/>
          </w:tcPr>
          <w:p w14:paraId="3D94AB5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North Cyprus</w:t>
            </w:r>
          </w:p>
        </w:tc>
        <w:tc>
          <w:tcPr>
            <w:tcW w:w="1656" w:type="dxa"/>
            <w:tcBorders>
              <w:top w:val="nil"/>
              <w:left w:val="nil"/>
              <w:bottom w:val="single" w:sz="4" w:space="0" w:color="000000"/>
              <w:right w:val="single" w:sz="4" w:space="0" w:color="000000"/>
            </w:tcBorders>
            <w:shd w:val="clear" w:color="auto" w:fill="auto"/>
            <w:vAlign w:val="bottom"/>
          </w:tcPr>
          <w:p w14:paraId="0B7ED166"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3.70</w:t>
            </w:r>
          </w:p>
        </w:tc>
        <w:tc>
          <w:tcPr>
            <w:tcW w:w="1617" w:type="dxa"/>
            <w:tcBorders>
              <w:top w:val="nil"/>
              <w:left w:val="nil"/>
              <w:bottom w:val="single" w:sz="4" w:space="0" w:color="000000"/>
              <w:right w:val="single" w:sz="4" w:space="0" w:color="000000"/>
            </w:tcBorders>
            <w:shd w:val="clear" w:color="auto" w:fill="auto"/>
            <w:vAlign w:val="bottom"/>
          </w:tcPr>
          <w:p w14:paraId="1B33FBE4" w14:textId="77777777" w:rsidR="00CA20B8" w:rsidRDefault="003225D9">
            <w:pPr>
              <w:keepNext/>
              <w:spacing w:after="0" w:line="240" w:lineRule="auto"/>
              <w:jc w:val="center"/>
              <w:rPr>
                <w:rFonts w:eastAsia="Times New Roman" w:cs="Times New Roman"/>
                <w:color w:val="000000"/>
                <w:sz w:val="20"/>
                <w:szCs w:val="20"/>
              </w:rPr>
            </w:pPr>
            <w:r>
              <w:rPr>
                <w:rFonts w:eastAsia="Times New Roman" w:cs="Times New Roman"/>
                <w:color w:val="000000"/>
                <w:sz w:val="20"/>
                <w:szCs w:val="20"/>
              </w:rPr>
              <w:t>3.41</w:t>
            </w:r>
          </w:p>
        </w:tc>
      </w:tr>
    </w:tbl>
    <w:p w14:paraId="72DBA7DD" w14:textId="77777777" w:rsidR="00CA20B8" w:rsidRDefault="003225D9">
      <w:pPr>
        <w:pStyle w:val="Caption"/>
        <w:jc w:val="center"/>
        <w:rPr>
          <w:rFonts w:eastAsia="Times New Roman" w:cs="Times New Roman"/>
          <w:sz w:val="20"/>
          <w:szCs w:val="20"/>
        </w:rPr>
      </w:pPr>
      <w:r>
        <w:rPr>
          <w:rFonts w:cs="Times New Roman"/>
          <w:b w:val="0"/>
          <w:color w:val="auto"/>
          <w:sz w:val="20"/>
          <w:szCs w:val="20"/>
        </w:rPr>
        <w:t xml:space="preserve">Table 2. </w:t>
      </w:r>
      <w:r>
        <w:rPr>
          <w:rFonts w:eastAsia="Times New Roman" w:cs="Times New Roman"/>
          <w:b w:val="0"/>
          <w:color w:val="auto"/>
          <w:sz w:val="20"/>
          <w:szCs w:val="20"/>
        </w:rPr>
        <w:t>Acceleration of bedrock at T = 0.2 sec</w:t>
      </w:r>
    </w:p>
    <w:p w14:paraId="6FC3CCEE" w14:textId="77777777" w:rsidR="00CA20B8" w:rsidRDefault="003225D9">
      <w:pPr>
        <w:spacing w:after="0"/>
        <w:ind w:firstLine="432"/>
        <w:jc w:val="both"/>
        <w:rPr>
          <w:rFonts w:eastAsia="Times New Roman" w:cs="Times New Roman"/>
          <w:sz w:val="20"/>
          <w:szCs w:val="20"/>
        </w:rPr>
      </w:pPr>
      <w:r>
        <w:rPr>
          <w:rFonts w:eastAsia="Times New Roman" w:cs="Times New Roman"/>
          <w:color w:val="000000"/>
          <w:sz w:val="20"/>
          <w:szCs w:val="20"/>
        </w:rPr>
        <w:t xml:space="preserve">Based on </w:t>
      </w:r>
      <w:r>
        <w:rPr>
          <w:rFonts w:eastAsia="Times New Roman" w:cs="Times New Roman"/>
          <w:sz w:val="20"/>
          <w:szCs w:val="20"/>
        </w:rPr>
        <w:t xml:space="preserve">results </w:t>
      </w:r>
      <w:r>
        <w:rPr>
          <w:rFonts w:eastAsia="Times New Roman" w:cs="Times New Roman"/>
          <w:color w:val="000000"/>
          <w:sz w:val="20"/>
          <w:szCs w:val="20"/>
        </w:rPr>
        <w:t>analysis</w:t>
      </w:r>
      <w:r>
        <w:rPr>
          <w:rFonts w:eastAsia="Times New Roman" w:cs="Times New Roman"/>
          <w:sz w:val="20"/>
          <w:szCs w:val="20"/>
        </w:rPr>
        <w:t xml:space="preserve"> from Table 2. probability obtained the maximum PGA value for more than half of the Mentawai region, namely West </w:t>
      </w:r>
      <w:proofErr w:type="spellStart"/>
      <w:r>
        <w:rPr>
          <w:rFonts w:eastAsia="Times New Roman" w:cs="Times New Roman"/>
          <w:sz w:val="20"/>
          <w:szCs w:val="20"/>
        </w:rPr>
        <w:t>Siberut</w:t>
      </w:r>
      <w:proofErr w:type="spellEnd"/>
      <w:r>
        <w:rPr>
          <w:rFonts w:eastAsia="Times New Roman" w:cs="Times New Roman"/>
          <w:sz w:val="20"/>
          <w:szCs w:val="20"/>
        </w:rPr>
        <w:t xml:space="preserve">, Southwest </w:t>
      </w:r>
      <w:proofErr w:type="spellStart"/>
      <w:r>
        <w:rPr>
          <w:rFonts w:eastAsia="Times New Roman" w:cs="Times New Roman"/>
          <w:sz w:val="20"/>
          <w:szCs w:val="20"/>
        </w:rPr>
        <w:t>Siberut</w:t>
      </w:r>
      <w:proofErr w:type="spellEnd"/>
      <w:r>
        <w:rPr>
          <w:rFonts w:eastAsia="Times New Roman" w:cs="Times New Roman"/>
          <w:sz w:val="20"/>
          <w:szCs w:val="20"/>
        </w:rPr>
        <w:t xml:space="preserve">, South </w:t>
      </w:r>
      <w:proofErr w:type="spellStart"/>
      <w:r>
        <w:rPr>
          <w:rFonts w:eastAsia="Times New Roman" w:cs="Times New Roman"/>
          <w:sz w:val="20"/>
          <w:szCs w:val="20"/>
        </w:rPr>
        <w:t>Siberut</w:t>
      </w:r>
      <w:proofErr w:type="spellEnd"/>
      <w:r>
        <w:rPr>
          <w:rFonts w:eastAsia="Times New Roman" w:cs="Times New Roman"/>
          <w:sz w:val="20"/>
          <w:szCs w:val="20"/>
        </w:rPr>
        <w:t xml:space="preserve">, Central </w:t>
      </w:r>
      <w:proofErr w:type="spellStart"/>
      <w:r>
        <w:rPr>
          <w:rFonts w:eastAsia="Times New Roman" w:cs="Times New Roman"/>
          <w:sz w:val="20"/>
          <w:szCs w:val="20"/>
        </w:rPr>
        <w:t>Siberut</w:t>
      </w:r>
      <w:proofErr w:type="spellEnd"/>
      <w:r>
        <w:rPr>
          <w:rFonts w:eastAsia="Times New Roman" w:cs="Times New Roman"/>
          <w:sz w:val="20"/>
          <w:szCs w:val="20"/>
        </w:rPr>
        <w:t xml:space="preserve">, North </w:t>
      </w:r>
      <w:proofErr w:type="spellStart"/>
      <w:r>
        <w:rPr>
          <w:rFonts w:eastAsia="Times New Roman" w:cs="Times New Roman"/>
          <w:sz w:val="20"/>
          <w:szCs w:val="20"/>
        </w:rPr>
        <w:t>Siberut</w:t>
      </w:r>
      <w:proofErr w:type="spellEnd"/>
      <w:r>
        <w:rPr>
          <w:rFonts w:eastAsia="Times New Roman" w:cs="Times New Roman"/>
          <w:sz w:val="20"/>
          <w:szCs w:val="20"/>
        </w:rPr>
        <w:t xml:space="preserve">, South </w:t>
      </w:r>
      <w:proofErr w:type="spellStart"/>
      <w:r>
        <w:rPr>
          <w:rFonts w:eastAsia="Times New Roman" w:cs="Times New Roman"/>
          <w:sz w:val="20"/>
          <w:szCs w:val="20"/>
        </w:rPr>
        <w:t>Sipora</w:t>
      </w:r>
      <w:proofErr w:type="spellEnd"/>
      <w:r>
        <w:rPr>
          <w:rFonts w:eastAsia="Times New Roman" w:cs="Times New Roman"/>
          <w:sz w:val="20"/>
          <w:szCs w:val="20"/>
        </w:rPr>
        <w:t xml:space="preserve"> and North </w:t>
      </w:r>
      <w:proofErr w:type="spellStart"/>
      <w:r>
        <w:rPr>
          <w:rFonts w:eastAsia="Times New Roman" w:cs="Times New Roman"/>
          <w:sz w:val="20"/>
          <w:szCs w:val="20"/>
        </w:rPr>
        <w:t>Sipora</w:t>
      </w:r>
      <w:proofErr w:type="spellEnd"/>
      <w:r>
        <w:rPr>
          <w:rFonts w:eastAsia="Times New Roman" w:cs="Times New Roman"/>
          <w:sz w:val="20"/>
          <w:szCs w:val="20"/>
        </w:rPr>
        <w:t xml:space="preserve"> 3.41 g – 3.70 g, North </w:t>
      </w:r>
      <w:proofErr w:type="spellStart"/>
      <w:r>
        <w:rPr>
          <w:rFonts w:eastAsia="Times New Roman" w:cs="Times New Roman"/>
          <w:sz w:val="20"/>
          <w:szCs w:val="20"/>
        </w:rPr>
        <w:t>Pagai</w:t>
      </w:r>
      <w:proofErr w:type="spellEnd"/>
      <w:r>
        <w:rPr>
          <w:rFonts w:eastAsia="Times New Roman" w:cs="Times New Roman"/>
          <w:sz w:val="20"/>
          <w:szCs w:val="20"/>
        </w:rPr>
        <w:t xml:space="preserve"> 2.30 g – </w:t>
      </w:r>
      <w:r>
        <w:rPr>
          <w:rFonts w:eastAsia="Times New Roman" w:cs="Times New Roman"/>
          <w:sz w:val="20"/>
          <w:szCs w:val="20"/>
        </w:rPr>
        <w:t xml:space="preserve">2.86 g. Small maximum PGA of 2.30 g – 2.30 g, namely the South </w:t>
      </w:r>
      <w:proofErr w:type="spellStart"/>
      <w:r>
        <w:rPr>
          <w:rFonts w:eastAsia="Times New Roman" w:cs="Times New Roman"/>
          <w:sz w:val="20"/>
          <w:szCs w:val="20"/>
        </w:rPr>
        <w:t>Pagai</w:t>
      </w:r>
      <w:proofErr w:type="spellEnd"/>
      <w:r>
        <w:rPr>
          <w:rFonts w:eastAsia="Times New Roman" w:cs="Times New Roman"/>
          <w:sz w:val="20"/>
          <w:szCs w:val="20"/>
        </w:rPr>
        <w:t xml:space="preserve"> and </w:t>
      </w:r>
      <w:proofErr w:type="spellStart"/>
      <w:r>
        <w:rPr>
          <w:rFonts w:eastAsia="Times New Roman" w:cs="Times New Roman"/>
          <w:sz w:val="20"/>
          <w:szCs w:val="20"/>
        </w:rPr>
        <w:t>Sikakap</w:t>
      </w:r>
      <w:proofErr w:type="spellEnd"/>
      <w:r>
        <w:rPr>
          <w:rFonts w:eastAsia="Times New Roman" w:cs="Times New Roman"/>
          <w:sz w:val="20"/>
          <w:szCs w:val="20"/>
        </w:rPr>
        <w:t xml:space="preserve"> areas.</w:t>
      </w:r>
    </w:p>
    <w:p w14:paraId="4599CC35" w14:textId="57657A3E" w:rsidR="00CA20B8" w:rsidRDefault="003225D9">
      <w:pPr>
        <w:spacing w:after="0"/>
        <w:ind w:firstLine="432"/>
        <w:jc w:val="both"/>
        <w:rPr>
          <w:rFonts w:eastAsia="Times New Roman" w:cs="Times New Roman"/>
          <w:sz w:val="20"/>
          <w:szCs w:val="20"/>
        </w:rPr>
      </w:pPr>
      <w:r>
        <w:rPr>
          <w:rFonts w:eastAsia="Times New Roman" w:cs="Times New Roman"/>
          <w:sz w:val="20"/>
          <w:szCs w:val="20"/>
        </w:rPr>
        <w:t xml:space="preserve">Based on </w:t>
      </w:r>
      <w:r w:rsidR="00DC24D7">
        <w:rPr>
          <w:rFonts w:eastAsia="Times New Roman" w:cs="Times New Roman"/>
          <w:color w:val="000000"/>
          <w:sz w:val="20"/>
          <w:szCs w:val="20"/>
        </w:rPr>
        <w:t>Figure</w:t>
      </w:r>
      <w:r>
        <w:rPr>
          <w:rFonts w:eastAsia="Times New Roman" w:cs="Times New Roman"/>
          <w:sz w:val="20"/>
          <w:szCs w:val="20"/>
        </w:rPr>
        <w:t xml:space="preserve"> </w:t>
      </w:r>
      <w:r w:rsidR="00DC24D7">
        <w:rPr>
          <w:rFonts w:eastAsia="Times New Roman" w:cs="Times New Roman"/>
          <w:sz w:val="20"/>
          <w:szCs w:val="20"/>
        </w:rPr>
        <w:t>4</w:t>
      </w:r>
      <w:r>
        <w:rPr>
          <w:rFonts w:eastAsia="Times New Roman" w:cs="Times New Roman"/>
          <w:sz w:val="20"/>
          <w:szCs w:val="20"/>
        </w:rPr>
        <w:t xml:space="preserve"> we can make a table of acceleration values ​​in bedrock at T = 1 second and the probability of exceeding 10% within 50 years (earthquake return perio</w:t>
      </w:r>
      <w:r>
        <w:rPr>
          <w:rFonts w:eastAsia="Times New Roman" w:cs="Times New Roman"/>
          <w:sz w:val="20"/>
          <w:szCs w:val="20"/>
        </w:rPr>
        <w:t xml:space="preserve">d of 50 years). The resulting coefficients can be used by engineers for the design of building structures or buildings. From Figure 11. a table can be made and it can be seen in the </w:t>
      </w:r>
      <w:r w:rsidR="001664DE">
        <w:rPr>
          <w:rFonts w:eastAsia="Times New Roman" w:cs="Times New Roman"/>
          <w:sz w:val="20"/>
          <w:szCs w:val="20"/>
        </w:rPr>
        <w:t>T</w:t>
      </w:r>
      <w:r>
        <w:rPr>
          <w:rFonts w:eastAsia="Times New Roman" w:cs="Times New Roman"/>
          <w:sz w:val="20"/>
          <w:szCs w:val="20"/>
        </w:rPr>
        <w:t>able</w:t>
      </w:r>
      <w:r>
        <w:rPr>
          <w:rFonts w:eastAsia="Times New Roman" w:cs="Times New Roman"/>
          <w:sz w:val="20"/>
          <w:szCs w:val="20"/>
        </w:rPr>
        <w:t>3.</w:t>
      </w:r>
    </w:p>
    <w:p w14:paraId="383BEFEF" w14:textId="77777777" w:rsidR="00CA20B8" w:rsidRDefault="00CA20B8">
      <w:pPr>
        <w:spacing w:after="0"/>
        <w:ind w:firstLine="432"/>
        <w:jc w:val="both"/>
        <w:rPr>
          <w:rFonts w:eastAsia="Times New Roman" w:cs="Times New Roman"/>
          <w:sz w:val="20"/>
          <w:szCs w:val="20"/>
        </w:rPr>
      </w:pPr>
    </w:p>
    <w:tbl>
      <w:tblPr>
        <w:tblStyle w:val="Style33"/>
        <w:tblW w:w="6223" w:type="dxa"/>
        <w:jc w:val="center"/>
        <w:tblInd w:w="0" w:type="dxa"/>
        <w:tblLayout w:type="fixed"/>
        <w:tblLook w:val="04A0" w:firstRow="1" w:lastRow="0" w:firstColumn="1" w:lastColumn="0" w:noHBand="0" w:noVBand="1"/>
      </w:tblPr>
      <w:tblGrid>
        <w:gridCol w:w="885"/>
        <w:gridCol w:w="2065"/>
        <w:gridCol w:w="1656"/>
        <w:gridCol w:w="1617"/>
      </w:tblGrid>
      <w:tr w:rsidR="00CA20B8" w14:paraId="6242A6F1" w14:textId="77777777">
        <w:trPr>
          <w:trHeight w:val="315"/>
          <w:jc w:val="center"/>
        </w:trPr>
        <w:tc>
          <w:tcPr>
            <w:tcW w:w="8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70862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w:t>
            </w:r>
          </w:p>
        </w:tc>
        <w:tc>
          <w:tcPr>
            <w:tcW w:w="2065" w:type="dxa"/>
            <w:tcBorders>
              <w:top w:val="single" w:sz="4" w:space="0" w:color="000000"/>
              <w:left w:val="nil"/>
              <w:bottom w:val="single" w:sz="4" w:space="0" w:color="000000"/>
              <w:right w:val="single" w:sz="4" w:space="0" w:color="000000"/>
            </w:tcBorders>
            <w:shd w:val="clear" w:color="auto" w:fill="auto"/>
            <w:vAlign w:val="bottom"/>
          </w:tcPr>
          <w:p w14:paraId="6DD685D0"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Region</w:t>
            </w:r>
          </w:p>
        </w:tc>
        <w:tc>
          <w:tcPr>
            <w:tcW w:w="1656" w:type="dxa"/>
            <w:tcBorders>
              <w:top w:val="single" w:sz="4" w:space="0" w:color="000000"/>
              <w:left w:val="nil"/>
              <w:bottom w:val="single" w:sz="4" w:space="0" w:color="000000"/>
              <w:right w:val="single" w:sz="4" w:space="0" w:color="000000"/>
            </w:tcBorders>
            <w:shd w:val="clear" w:color="auto" w:fill="auto"/>
            <w:vAlign w:val="bottom"/>
          </w:tcPr>
          <w:p w14:paraId="59D87712"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PGA Max (g)</w:t>
            </w:r>
          </w:p>
        </w:tc>
        <w:tc>
          <w:tcPr>
            <w:tcW w:w="1617" w:type="dxa"/>
            <w:tcBorders>
              <w:top w:val="single" w:sz="4" w:space="0" w:color="000000"/>
              <w:left w:val="nil"/>
              <w:bottom w:val="single" w:sz="4" w:space="0" w:color="000000"/>
              <w:right w:val="single" w:sz="4" w:space="0" w:color="000000"/>
            </w:tcBorders>
            <w:shd w:val="clear" w:color="auto" w:fill="auto"/>
            <w:vAlign w:val="bottom"/>
          </w:tcPr>
          <w:p w14:paraId="605CC6C7"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PGA Min (g)</w:t>
            </w:r>
          </w:p>
        </w:tc>
      </w:tr>
      <w:tr w:rsidR="00CA20B8" w14:paraId="7FA32F5A" w14:textId="77777777">
        <w:trPr>
          <w:trHeight w:val="315"/>
          <w:jc w:val="center"/>
        </w:trPr>
        <w:tc>
          <w:tcPr>
            <w:tcW w:w="885" w:type="dxa"/>
            <w:tcBorders>
              <w:top w:val="nil"/>
              <w:left w:val="single" w:sz="4" w:space="0" w:color="000000"/>
              <w:bottom w:val="single" w:sz="4" w:space="0" w:color="000000"/>
              <w:right w:val="single" w:sz="4" w:space="0" w:color="000000"/>
            </w:tcBorders>
            <w:shd w:val="clear" w:color="auto" w:fill="auto"/>
            <w:vAlign w:val="bottom"/>
          </w:tcPr>
          <w:p w14:paraId="320B65E9"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w:t>
            </w:r>
          </w:p>
        </w:tc>
        <w:tc>
          <w:tcPr>
            <w:tcW w:w="2065" w:type="dxa"/>
            <w:tcBorders>
              <w:top w:val="nil"/>
              <w:left w:val="nil"/>
              <w:bottom w:val="single" w:sz="4" w:space="0" w:color="000000"/>
              <w:right w:val="single" w:sz="4" w:space="0" w:color="000000"/>
            </w:tcBorders>
            <w:shd w:val="clear" w:color="auto" w:fill="auto"/>
            <w:vAlign w:val="bottom"/>
          </w:tcPr>
          <w:p w14:paraId="7A5166DF"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 </w:t>
            </w:r>
            <w:proofErr w:type="spellStart"/>
            <w:r>
              <w:rPr>
                <w:rFonts w:eastAsia="Times New Roman" w:cs="Times New Roman"/>
                <w:color w:val="000000"/>
                <w:sz w:val="20"/>
                <w:szCs w:val="20"/>
              </w:rPr>
              <w:t>Pagai</w:t>
            </w:r>
            <w:proofErr w:type="spellEnd"/>
          </w:p>
        </w:tc>
        <w:tc>
          <w:tcPr>
            <w:tcW w:w="1656" w:type="dxa"/>
            <w:tcBorders>
              <w:top w:val="nil"/>
              <w:left w:val="nil"/>
              <w:bottom w:val="single" w:sz="4" w:space="0" w:color="000000"/>
              <w:right w:val="single" w:sz="4" w:space="0" w:color="000000"/>
            </w:tcBorders>
            <w:shd w:val="clear" w:color="auto" w:fill="auto"/>
            <w:vAlign w:val="bottom"/>
          </w:tcPr>
          <w:p w14:paraId="1FE460F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1.26</w:t>
            </w:r>
          </w:p>
        </w:tc>
        <w:tc>
          <w:tcPr>
            <w:tcW w:w="1617" w:type="dxa"/>
            <w:tcBorders>
              <w:top w:val="nil"/>
              <w:left w:val="nil"/>
              <w:bottom w:val="single" w:sz="4" w:space="0" w:color="000000"/>
              <w:right w:val="single" w:sz="4" w:space="0" w:color="000000"/>
            </w:tcBorders>
            <w:shd w:val="clear" w:color="auto" w:fill="auto"/>
            <w:vAlign w:val="bottom"/>
          </w:tcPr>
          <w:p w14:paraId="1767AEA2"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0.57</w:t>
            </w:r>
          </w:p>
        </w:tc>
      </w:tr>
      <w:tr w:rsidR="00CA20B8" w14:paraId="62204D43" w14:textId="77777777">
        <w:trPr>
          <w:trHeight w:val="315"/>
          <w:jc w:val="center"/>
        </w:trPr>
        <w:tc>
          <w:tcPr>
            <w:tcW w:w="885" w:type="dxa"/>
            <w:tcBorders>
              <w:top w:val="nil"/>
              <w:left w:val="single" w:sz="4" w:space="0" w:color="000000"/>
              <w:bottom w:val="single" w:sz="4" w:space="0" w:color="000000"/>
              <w:right w:val="single" w:sz="4" w:space="0" w:color="000000"/>
            </w:tcBorders>
            <w:shd w:val="clear" w:color="auto" w:fill="auto"/>
            <w:vAlign w:val="bottom"/>
          </w:tcPr>
          <w:p w14:paraId="325C79DF"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w:t>
            </w:r>
          </w:p>
        </w:tc>
        <w:tc>
          <w:tcPr>
            <w:tcW w:w="2065" w:type="dxa"/>
            <w:tcBorders>
              <w:top w:val="nil"/>
              <w:left w:val="nil"/>
              <w:bottom w:val="single" w:sz="4" w:space="0" w:color="000000"/>
              <w:right w:val="single" w:sz="4" w:space="0" w:color="000000"/>
            </w:tcBorders>
            <w:shd w:val="clear" w:color="auto" w:fill="auto"/>
            <w:vAlign w:val="bottom"/>
          </w:tcPr>
          <w:p w14:paraId="20BC2253"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North </w:t>
            </w:r>
            <w:proofErr w:type="spellStart"/>
            <w:r>
              <w:rPr>
                <w:rFonts w:eastAsia="Times New Roman" w:cs="Times New Roman"/>
                <w:color w:val="000000"/>
                <w:sz w:val="20"/>
                <w:szCs w:val="20"/>
              </w:rPr>
              <w:t>Pagai</w:t>
            </w:r>
            <w:proofErr w:type="spellEnd"/>
          </w:p>
        </w:tc>
        <w:tc>
          <w:tcPr>
            <w:tcW w:w="1656" w:type="dxa"/>
            <w:tcBorders>
              <w:top w:val="nil"/>
              <w:left w:val="nil"/>
              <w:bottom w:val="single" w:sz="4" w:space="0" w:color="000000"/>
              <w:right w:val="single" w:sz="4" w:space="0" w:color="000000"/>
            </w:tcBorders>
            <w:shd w:val="clear" w:color="auto" w:fill="auto"/>
            <w:vAlign w:val="bottom"/>
          </w:tcPr>
          <w:p w14:paraId="6C7D9A79"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1.26</w:t>
            </w:r>
          </w:p>
        </w:tc>
        <w:tc>
          <w:tcPr>
            <w:tcW w:w="1617" w:type="dxa"/>
            <w:tcBorders>
              <w:top w:val="nil"/>
              <w:left w:val="nil"/>
              <w:bottom w:val="single" w:sz="4" w:space="0" w:color="000000"/>
              <w:right w:val="single" w:sz="4" w:space="0" w:color="000000"/>
            </w:tcBorders>
            <w:shd w:val="clear" w:color="auto" w:fill="auto"/>
            <w:vAlign w:val="bottom"/>
          </w:tcPr>
          <w:p w14:paraId="299C095F"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0.91</w:t>
            </w:r>
          </w:p>
        </w:tc>
      </w:tr>
      <w:tr w:rsidR="00CA20B8" w14:paraId="3E797CEA" w14:textId="77777777">
        <w:trPr>
          <w:trHeight w:val="315"/>
          <w:jc w:val="center"/>
        </w:trPr>
        <w:tc>
          <w:tcPr>
            <w:tcW w:w="885" w:type="dxa"/>
            <w:tcBorders>
              <w:top w:val="nil"/>
              <w:left w:val="single" w:sz="4" w:space="0" w:color="000000"/>
              <w:bottom w:val="single" w:sz="4" w:space="0" w:color="000000"/>
              <w:right w:val="single" w:sz="4" w:space="0" w:color="000000"/>
            </w:tcBorders>
            <w:shd w:val="clear" w:color="auto" w:fill="auto"/>
            <w:vAlign w:val="bottom"/>
          </w:tcPr>
          <w:p w14:paraId="0C40F5AF"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3</w:t>
            </w:r>
          </w:p>
        </w:tc>
        <w:tc>
          <w:tcPr>
            <w:tcW w:w="2065" w:type="dxa"/>
            <w:tcBorders>
              <w:top w:val="nil"/>
              <w:left w:val="nil"/>
              <w:bottom w:val="single" w:sz="4" w:space="0" w:color="000000"/>
              <w:right w:val="single" w:sz="4" w:space="0" w:color="000000"/>
            </w:tcBorders>
            <w:shd w:val="clear" w:color="auto" w:fill="auto"/>
            <w:vAlign w:val="bottom"/>
          </w:tcPr>
          <w:p w14:paraId="331DF51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West </w:t>
            </w:r>
            <w:proofErr w:type="spellStart"/>
            <w:r>
              <w:rPr>
                <w:rFonts w:eastAsia="Times New Roman" w:cs="Times New Roman"/>
                <w:color w:val="000000"/>
                <w:sz w:val="20"/>
                <w:szCs w:val="20"/>
              </w:rPr>
              <w:t>Siberut</w:t>
            </w:r>
            <w:proofErr w:type="spellEnd"/>
          </w:p>
        </w:tc>
        <w:tc>
          <w:tcPr>
            <w:tcW w:w="1656" w:type="dxa"/>
            <w:tcBorders>
              <w:top w:val="nil"/>
              <w:left w:val="nil"/>
              <w:bottom w:val="single" w:sz="4" w:space="0" w:color="000000"/>
              <w:right w:val="single" w:sz="4" w:space="0" w:color="000000"/>
            </w:tcBorders>
            <w:shd w:val="clear" w:color="auto" w:fill="auto"/>
            <w:vAlign w:val="bottom"/>
          </w:tcPr>
          <w:p w14:paraId="1F506E3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2.30</w:t>
            </w:r>
          </w:p>
        </w:tc>
        <w:tc>
          <w:tcPr>
            <w:tcW w:w="1617" w:type="dxa"/>
            <w:tcBorders>
              <w:top w:val="nil"/>
              <w:left w:val="nil"/>
              <w:bottom w:val="single" w:sz="4" w:space="0" w:color="000000"/>
              <w:right w:val="single" w:sz="4" w:space="0" w:color="000000"/>
            </w:tcBorders>
            <w:shd w:val="clear" w:color="auto" w:fill="auto"/>
            <w:vAlign w:val="bottom"/>
          </w:tcPr>
          <w:p w14:paraId="6BA1EFC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1.26</w:t>
            </w:r>
          </w:p>
        </w:tc>
      </w:tr>
      <w:tr w:rsidR="00CA20B8" w14:paraId="299B8256" w14:textId="77777777">
        <w:trPr>
          <w:trHeight w:val="315"/>
          <w:jc w:val="center"/>
        </w:trPr>
        <w:tc>
          <w:tcPr>
            <w:tcW w:w="885" w:type="dxa"/>
            <w:tcBorders>
              <w:top w:val="nil"/>
              <w:left w:val="single" w:sz="4" w:space="0" w:color="000000"/>
              <w:bottom w:val="single" w:sz="4" w:space="0" w:color="000000"/>
              <w:right w:val="single" w:sz="4" w:space="0" w:color="000000"/>
            </w:tcBorders>
            <w:shd w:val="clear" w:color="auto" w:fill="auto"/>
            <w:vAlign w:val="bottom"/>
          </w:tcPr>
          <w:p w14:paraId="55B9F725"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4</w:t>
            </w:r>
          </w:p>
        </w:tc>
        <w:tc>
          <w:tcPr>
            <w:tcW w:w="2065" w:type="dxa"/>
            <w:tcBorders>
              <w:top w:val="nil"/>
              <w:left w:val="nil"/>
              <w:bottom w:val="single" w:sz="4" w:space="0" w:color="000000"/>
              <w:right w:val="single" w:sz="4" w:space="0" w:color="000000"/>
            </w:tcBorders>
            <w:shd w:val="clear" w:color="auto" w:fill="auto"/>
            <w:vAlign w:val="bottom"/>
          </w:tcPr>
          <w:p w14:paraId="5A4B33FC"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Southwest </w:t>
            </w:r>
            <w:proofErr w:type="spellStart"/>
            <w:r>
              <w:rPr>
                <w:rFonts w:eastAsia="Times New Roman" w:cs="Times New Roman"/>
                <w:color w:val="000000"/>
                <w:sz w:val="20"/>
                <w:szCs w:val="20"/>
              </w:rPr>
              <w:t>Siberut</w:t>
            </w:r>
            <w:proofErr w:type="spellEnd"/>
          </w:p>
        </w:tc>
        <w:tc>
          <w:tcPr>
            <w:tcW w:w="1656" w:type="dxa"/>
            <w:tcBorders>
              <w:top w:val="nil"/>
              <w:left w:val="nil"/>
              <w:bottom w:val="single" w:sz="4" w:space="0" w:color="000000"/>
              <w:right w:val="single" w:sz="4" w:space="0" w:color="000000"/>
            </w:tcBorders>
            <w:shd w:val="clear" w:color="auto" w:fill="auto"/>
            <w:vAlign w:val="bottom"/>
          </w:tcPr>
          <w:p w14:paraId="121639D2"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2.30</w:t>
            </w:r>
          </w:p>
        </w:tc>
        <w:tc>
          <w:tcPr>
            <w:tcW w:w="1617" w:type="dxa"/>
            <w:tcBorders>
              <w:top w:val="nil"/>
              <w:left w:val="nil"/>
              <w:bottom w:val="single" w:sz="4" w:space="0" w:color="000000"/>
              <w:right w:val="single" w:sz="4" w:space="0" w:color="000000"/>
            </w:tcBorders>
            <w:shd w:val="clear" w:color="auto" w:fill="auto"/>
            <w:vAlign w:val="bottom"/>
          </w:tcPr>
          <w:p w14:paraId="79B4D6A5"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1.60</w:t>
            </w:r>
          </w:p>
        </w:tc>
      </w:tr>
      <w:tr w:rsidR="00CA20B8" w14:paraId="199FBDE8" w14:textId="77777777">
        <w:trPr>
          <w:trHeight w:val="315"/>
          <w:jc w:val="center"/>
        </w:trPr>
        <w:tc>
          <w:tcPr>
            <w:tcW w:w="885" w:type="dxa"/>
            <w:tcBorders>
              <w:top w:val="nil"/>
              <w:left w:val="single" w:sz="4" w:space="0" w:color="000000"/>
              <w:bottom w:val="single" w:sz="4" w:space="0" w:color="000000"/>
              <w:right w:val="single" w:sz="4" w:space="0" w:color="000000"/>
            </w:tcBorders>
            <w:shd w:val="clear" w:color="auto" w:fill="auto"/>
            <w:vAlign w:val="bottom"/>
          </w:tcPr>
          <w:p w14:paraId="4DE3E399"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5</w:t>
            </w:r>
          </w:p>
        </w:tc>
        <w:tc>
          <w:tcPr>
            <w:tcW w:w="2065" w:type="dxa"/>
            <w:tcBorders>
              <w:top w:val="nil"/>
              <w:left w:val="nil"/>
              <w:bottom w:val="single" w:sz="4" w:space="0" w:color="000000"/>
              <w:right w:val="single" w:sz="4" w:space="0" w:color="000000"/>
            </w:tcBorders>
            <w:shd w:val="clear" w:color="auto" w:fill="auto"/>
            <w:vAlign w:val="bottom"/>
          </w:tcPr>
          <w:p w14:paraId="3A9F53ED"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 </w:t>
            </w:r>
            <w:proofErr w:type="spellStart"/>
            <w:r>
              <w:rPr>
                <w:rFonts w:eastAsia="Times New Roman" w:cs="Times New Roman"/>
                <w:color w:val="000000"/>
                <w:sz w:val="20"/>
                <w:szCs w:val="20"/>
              </w:rPr>
              <w:t>Siberut</w:t>
            </w:r>
            <w:proofErr w:type="spellEnd"/>
          </w:p>
        </w:tc>
        <w:tc>
          <w:tcPr>
            <w:tcW w:w="1656" w:type="dxa"/>
            <w:tcBorders>
              <w:top w:val="nil"/>
              <w:left w:val="nil"/>
              <w:bottom w:val="single" w:sz="4" w:space="0" w:color="000000"/>
              <w:right w:val="single" w:sz="4" w:space="0" w:color="000000"/>
            </w:tcBorders>
            <w:shd w:val="clear" w:color="auto" w:fill="auto"/>
            <w:vAlign w:val="bottom"/>
          </w:tcPr>
          <w:p w14:paraId="0D6381C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1.95</w:t>
            </w:r>
          </w:p>
        </w:tc>
        <w:tc>
          <w:tcPr>
            <w:tcW w:w="1617" w:type="dxa"/>
            <w:tcBorders>
              <w:top w:val="nil"/>
              <w:left w:val="nil"/>
              <w:bottom w:val="single" w:sz="4" w:space="0" w:color="000000"/>
              <w:right w:val="single" w:sz="4" w:space="0" w:color="000000"/>
            </w:tcBorders>
            <w:shd w:val="clear" w:color="auto" w:fill="auto"/>
            <w:vAlign w:val="bottom"/>
          </w:tcPr>
          <w:p w14:paraId="3D77024B"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1.26</w:t>
            </w:r>
          </w:p>
        </w:tc>
      </w:tr>
      <w:tr w:rsidR="00CA20B8" w14:paraId="408DC653" w14:textId="77777777">
        <w:trPr>
          <w:trHeight w:val="315"/>
          <w:jc w:val="center"/>
        </w:trPr>
        <w:tc>
          <w:tcPr>
            <w:tcW w:w="885" w:type="dxa"/>
            <w:tcBorders>
              <w:top w:val="nil"/>
              <w:left w:val="single" w:sz="4" w:space="0" w:color="000000"/>
              <w:bottom w:val="single" w:sz="4" w:space="0" w:color="000000"/>
              <w:right w:val="single" w:sz="4" w:space="0" w:color="000000"/>
            </w:tcBorders>
            <w:shd w:val="clear" w:color="auto" w:fill="auto"/>
            <w:vAlign w:val="bottom"/>
          </w:tcPr>
          <w:p w14:paraId="20452BC6"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6</w:t>
            </w:r>
          </w:p>
        </w:tc>
        <w:tc>
          <w:tcPr>
            <w:tcW w:w="2065" w:type="dxa"/>
            <w:tcBorders>
              <w:top w:val="nil"/>
              <w:left w:val="nil"/>
              <w:bottom w:val="single" w:sz="4" w:space="0" w:color="000000"/>
              <w:right w:val="single" w:sz="4" w:space="0" w:color="000000"/>
            </w:tcBorders>
            <w:shd w:val="clear" w:color="auto" w:fill="auto"/>
            <w:vAlign w:val="bottom"/>
          </w:tcPr>
          <w:p w14:paraId="18AD1124"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Central </w:t>
            </w:r>
            <w:proofErr w:type="spellStart"/>
            <w:r>
              <w:rPr>
                <w:rFonts w:eastAsia="Times New Roman" w:cs="Times New Roman"/>
                <w:color w:val="000000"/>
                <w:sz w:val="20"/>
                <w:szCs w:val="20"/>
              </w:rPr>
              <w:t>Siberut</w:t>
            </w:r>
            <w:proofErr w:type="spellEnd"/>
          </w:p>
        </w:tc>
        <w:tc>
          <w:tcPr>
            <w:tcW w:w="1656" w:type="dxa"/>
            <w:tcBorders>
              <w:top w:val="nil"/>
              <w:left w:val="nil"/>
              <w:bottom w:val="single" w:sz="4" w:space="0" w:color="000000"/>
              <w:right w:val="single" w:sz="4" w:space="0" w:color="000000"/>
            </w:tcBorders>
            <w:shd w:val="clear" w:color="auto" w:fill="auto"/>
            <w:vAlign w:val="bottom"/>
          </w:tcPr>
          <w:p w14:paraId="42774D1F"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1.95</w:t>
            </w:r>
          </w:p>
        </w:tc>
        <w:tc>
          <w:tcPr>
            <w:tcW w:w="1617" w:type="dxa"/>
            <w:tcBorders>
              <w:top w:val="nil"/>
              <w:left w:val="nil"/>
              <w:bottom w:val="single" w:sz="4" w:space="0" w:color="000000"/>
              <w:right w:val="single" w:sz="4" w:space="0" w:color="000000"/>
            </w:tcBorders>
            <w:shd w:val="clear" w:color="auto" w:fill="auto"/>
            <w:vAlign w:val="bottom"/>
          </w:tcPr>
          <w:p w14:paraId="75D67D3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1.26</w:t>
            </w:r>
          </w:p>
        </w:tc>
      </w:tr>
      <w:tr w:rsidR="00CA20B8" w14:paraId="4BA09C06" w14:textId="77777777">
        <w:trPr>
          <w:trHeight w:val="315"/>
          <w:jc w:val="center"/>
        </w:trPr>
        <w:tc>
          <w:tcPr>
            <w:tcW w:w="885" w:type="dxa"/>
            <w:tcBorders>
              <w:top w:val="nil"/>
              <w:left w:val="single" w:sz="4" w:space="0" w:color="000000"/>
              <w:bottom w:val="single" w:sz="4" w:space="0" w:color="000000"/>
              <w:right w:val="single" w:sz="4" w:space="0" w:color="000000"/>
            </w:tcBorders>
            <w:shd w:val="clear" w:color="auto" w:fill="auto"/>
            <w:vAlign w:val="bottom"/>
          </w:tcPr>
          <w:p w14:paraId="19FE2C0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7</w:t>
            </w:r>
          </w:p>
        </w:tc>
        <w:tc>
          <w:tcPr>
            <w:tcW w:w="2065" w:type="dxa"/>
            <w:tcBorders>
              <w:top w:val="nil"/>
              <w:left w:val="nil"/>
              <w:bottom w:val="single" w:sz="4" w:space="0" w:color="000000"/>
              <w:right w:val="single" w:sz="4" w:space="0" w:color="000000"/>
            </w:tcBorders>
            <w:shd w:val="clear" w:color="auto" w:fill="auto"/>
            <w:vAlign w:val="bottom"/>
          </w:tcPr>
          <w:p w14:paraId="46EAF1A3"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North </w:t>
            </w:r>
            <w:proofErr w:type="spellStart"/>
            <w:r>
              <w:rPr>
                <w:rFonts w:eastAsia="Times New Roman" w:cs="Times New Roman"/>
                <w:color w:val="000000"/>
                <w:sz w:val="20"/>
                <w:szCs w:val="20"/>
              </w:rPr>
              <w:t>Siberut</w:t>
            </w:r>
            <w:proofErr w:type="spellEnd"/>
          </w:p>
        </w:tc>
        <w:tc>
          <w:tcPr>
            <w:tcW w:w="1656" w:type="dxa"/>
            <w:tcBorders>
              <w:top w:val="nil"/>
              <w:left w:val="nil"/>
              <w:bottom w:val="single" w:sz="4" w:space="0" w:color="000000"/>
              <w:right w:val="single" w:sz="4" w:space="0" w:color="000000"/>
            </w:tcBorders>
            <w:shd w:val="clear" w:color="auto" w:fill="auto"/>
            <w:vAlign w:val="bottom"/>
          </w:tcPr>
          <w:p w14:paraId="3E44DACC"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1.95</w:t>
            </w:r>
          </w:p>
        </w:tc>
        <w:tc>
          <w:tcPr>
            <w:tcW w:w="1617" w:type="dxa"/>
            <w:tcBorders>
              <w:top w:val="nil"/>
              <w:left w:val="nil"/>
              <w:bottom w:val="single" w:sz="4" w:space="0" w:color="000000"/>
              <w:right w:val="single" w:sz="4" w:space="0" w:color="000000"/>
            </w:tcBorders>
            <w:shd w:val="clear" w:color="auto" w:fill="auto"/>
            <w:vAlign w:val="bottom"/>
          </w:tcPr>
          <w:p w14:paraId="728AA31E"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1.61</w:t>
            </w:r>
          </w:p>
        </w:tc>
      </w:tr>
      <w:tr w:rsidR="00CA20B8" w14:paraId="3EB65AC9" w14:textId="77777777">
        <w:trPr>
          <w:trHeight w:val="315"/>
          <w:jc w:val="center"/>
        </w:trPr>
        <w:tc>
          <w:tcPr>
            <w:tcW w:w="885" w:type="dxa"/>
            <w:tcBorders>
              <w:top w:val="nil"/>
              <w:left w:val="single" w:sz="4" w:space="0" w:color="000000"/>
              <w:bottom w:val="single" w:sz="4" w:space="0" w:color="000000"/>
              <w:right w:val="single" w:sz="4" w:space="0" w:color="000000"/>
            </w:tcBorders>
            <w:shd w:val="clear" w:color="auto" w:fill="auto"/>
            <w:vAlign w:val="bottom"/>
          </w:tcPr>
          <w:p w14:paraId="6B8E8232"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8</w:t>
            </w:r>
          </w:p>
        </w:tc>
        <w:tc>
          <w:tcPr>
            <w:tcW w:w="2065" w:type="dxa"/>
            <w:tcBorders>
              <w:top w:val="nil"/>
              <w:left w:val="nil"/>
              <w:bottom w:val="single" w:sz="4" w:space="0" w:color="000000"/>
              <w:right w:val="single" w:sz="4" w:space="0" w:color="000000"/>
            </w:tcBorders>
            <w:shd w:val="clear" w:color="auto" w:fill="auto"/>
            <w:vAlign w:val="bottom"/>
          </w:tcPr>
          <w:p w14:paraId="5525A735"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attitude</w:t>
            </w:r>
          </w:p>
        </w:tc>
        <w:tc>
          <w:tcPr>
            <w:tcW w:w="1656" w:type="dxa"/>
            <w:tcBorders>
              <w:top w:val="nil"/>
              <w:left w:val="nil"/>
              <w:bottom w:val="single" w:sz="4" w:space="0" w:color="000000"/>
              <w:right w:val="single" w:sz="4" w:space="0" w:color="000000"/>
            </w:tcBorders>
            <w:shd w:val="clear" w:color="auto" w:fill="auto"/>
            <w:vAlign w:val="bottom"/>
          </w:tcPr>
          <w:p w14:paraId="208C7D97"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1.26</w:t>
            </w:r>
          </w:p>
        </w:tc>
        <w:tc>
          <w:tcPr>
            <w:tcW w:w="1617" w:type="dxa"/>
            <w:tcBorders>
              <w:top w:val="nil"/>
              <w:left w:val="nil"/>
              <w:bottom w:val="single" w:sz="4" w:space="0" w:color="000000"/>
              <w:right w:val="single" w:sz="4" w:space="0" w:color="000000"/>
            </w:tcBorders>
            <w:shd w:val="clear" w:color="auto" w:fill="auto"/>
            <w:vAlign w:val="bottom"/>
          </w:tcPr>
          <w:p w14:paraId="48BABB75"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0.57</w:t>
            </w:r>
          </w:p>
        </w:tc>
      </w:tr>
      <w:tr w:rsidR="00CA20B8" w14:paraId="024D3B94" w14:textId="77777777">
        <w:trPr>
          <w:trHeight w:val="315"/>
          <w:jc w:val="center"/>
        </w:trPr>
        <w:tc>
          <w:tcPr>
            <w:tcW w:w="885" w:type="dxa"/>
            <w:tcBorders>
              <w:top w:val="nil"/>
              <w:left w:val="single" w:sz="4" w:space="0" w:color="000000"/>
              <w:bottom w:val="single" w:sz="4" w:space="0" w:color="000000"/>
              <w:right w:val="single" w:sz="4" w:space="0" w:color="000000"/>
            </w:tcBorders>
            <w:shd w:val="clear" w:color="auto" w:fill="auto"/>
            <w:vAlign w:val="bottom"/>
          </w:tcPr>
          <w:p w14:paraId="74C59E58"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9</w:t>
            </w:r>
          </w:p>
        </w:tc>
        <w:tc>
          <w:tcPr>
            <w:tcW w:w="2065" w:type="dxa"/>
            <w:tcBorders>
              <w:top w:val="nil"/>
              <w:left w:val="nil"/>
              <w:bottom w:val="single" w:sz="4" w:space="0" w:color="000000"/>
              <w:right w:val="single" w:sz="4" w:space="0" w:color="000000"/>
            </w:tcBorders>
            <w:shd w:val="clear" w:color="auto" w:fill="auto"/>
            <w:vAlign w:val="bottom"/>
          </w:tcPr>
          <w:p w14:paraId="5C58813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South </w:t>
            </w:r>
            <w:proofErr w:type="spellStart"/>
            <w:r>
              <w:rPr>
                <w:rFonts w:eastAsia="Times New Roman" w:cs="Times New Roman"/>
                <w:color w:val="000000"/>
                <w:sz w:val="20"/>
                <w:szCs w:val="20"/>
              </w:rPr>
              <w:t>Sipora</w:t>
            </w:r>
            <w:proofErr w:type="spellEnd"/>
          </w:p>
        </w:tc>
        <w:tc>
          <w:tcPr>
            <w:tcW w:w="1656" w:type="dxa"/>
            <w:tcBorders>
              <w:top w:val="nil"/>
              <w:left w:val="nil"/>
              <w:bottom w:val="single" w:sz="4" w:space="0" w:color="000000"/>
              <w:right w:val="single" w:sz="4" w:space="0" w:color="000000"/>
            </w:tcBorders>
            <w:shd w:val="clear" w:color="auto" w:fill="auto"/>
            <w:vAlign w:val="bottom"/>
          </w:tcPr>
          <w:p w14:paraId="4A610BF1"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1.61</w:t>
            </w:r>
          </w:p>
        </w:tc>
        <w:tc>
          <w:tcPr>
            <w:tcW w:w="1617" w:type="dxa"/>
            <w:tcBorders>
              <w:top w:val="nil"/>
              <w:left w:val="nil"/>
              <w:bottom w:val="single" w:sz="4" w:space="0" w:color="000000"/>
              <w:right w:val="single" w:sz="4" w:space="0" w:color="000000"/>
            </w:tcBorders>
            <w:shd w:val="clear" w:color="auto" w:fill="auto"/>
            <w:vAlign w:val="bottom"/>
          </w:tcPr>
          <w:p w14:paraId="0813FFE9"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1.26</w:t>
            </w:r>
          </w:p>
        </w:tc>
      </w:tr>
      <w:tr w:rsidR="00CA20B8" w14:paraId="2DAA87EF" w14:textId="77777777">
        <w:trPr>
          <w:trHeight w:val="315"/>
          <w:jc w:val="center"/>
        </w:trPr>
        <w:tc>
          <w:tcPr>
            <w:tcW w:w="885" w:type="dxa"/>
            <w:tcBorders>
              <w:top w:val="nil"/>
              <w:left w:val="single" w:sz="4" w:space="0" w:color="000000"/>
              <w:bottom w:val="single" w:sz="4" w:space="0" w:color="000000"/>
              <w:right w:val="single" w:sz="4" w:space="0" w:color="000000"/>
            </w:tcBorders>
            <w:shd w:val="clear" w:color="auto" w:fill="auto"/>
            <w:vAlign w:val="bottom"/>
          </w:tcPr>
          <w:p w14:paraId="67F35D80"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w:t>
            </w:r>
          </w:p>
        </w:tc>
        <w:tc>
          <w:tcPr>
            <w:tcW w:w="2065" w:type="dxa"/>
            <w:tcBorders>
              <w:top w:val="nil"/>
              <w:left w:val="nil"/>
              <w:bottom w:val="single" w:sz="4" w:space="0" w:color="000000"/>
              <w:right w:val="single" w:sz="4" w:space="0" w:color="000000"/>
            </w:tcBorders>
            <w:shd w:val="clear" w:color="auto" w:fill="auto"/>
            <w:vAlign w:val="bottom"/>
          </w:tcPr>
          <w:p w14:paraId="7E56F54E"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North Cyprus</w:t>
            </w:r>
          </w:p>
        </w:tc>
        <w:tc>
          <w:tcPr>
            <w:tcW w:w="1656" w:type="dxa"/>
            <w:tcBorders>
              <w:top w:val="nil"/>
              <w:left w:val="nil"/>
              <w:bottom w:val="single" w:sz="4" w:space="0" w:color="000000"/>
              <w:right w:val="single" w:sz="4" w:space="0" w:color="000000"/>
            </w:tcBorders>
            <w:shd w:val="clear" w:color="auto" w:fill="auto"/>
            <w:vAlign w:val="bottom"/>
          </w:tcPr>
          <w:p w14:paraId="690DA134" w14:textId="77777777" w:rsidR="00CA20B8" w:rsidRDefault="003225D9">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1.95</w:t>
            </w:r>
          </w:p>
        </w:tc>
        <w:tc>
          <w:tcPr>
            <w:tcW w:w="1617" w:type="dxa"/>
            <w:tcBorders>
              <w:top w:val="nil"/>
              <w:left w:val="nil"/>
              <w:bottom w:val="single" w:sz="4" w:space="0" w:color="000000"/>
              <w:right w:val="single" w:sz="4" w:space="0" w:color="000000"/>
            </w:tcBorders>
            <w:shd w:val="clear" w:color="auto" w:fill="auto"/>
            <w:vAlign w:val="bottom"/>
          </w:tcPr>
          <w:p w14:paraId="4AEE2913" w14:textId="77777777" w:rsidR="00CA20B8" w:rsidRDefault="003225D9">
            <w:pPr>
              <w:keepNext/>
              <w:spacing w:after="0" w:line="240" w:lineRule="auto"/>
              <w:jc w:val="center"/>
              <w:rPr>
                <w:rFonts w:eastAsia="Times New Roman" w:cs="Times New Roman"/>
                <w:color w:val="000000"/>
                <w:sz w:val="20"/>
                <w:szCs w:val="20"/>
              </w:rPr>
            </w:pPr>
            <w:r>
              <w:rPr>
                <w:rFonts w:eastAsia="Times New Roman" w:cs="Times New Roman"/>
                <w:color w:val="000000"/>
                <w:sz w:val="20"/>
                <w:szCs w:val="20"/>
              </w:rPr>
              <w:t>1.26</w:t>
            </w:r>
          </w:p>
        </w:tc>
      </w:tr>
    </w:tbl>
    <w:p w14:paraId="022DA0FD" w14:textId="77777777" w:rsidR="00CA20B8" w:rsidRDefault="003225D9">
      <w:pPr>
        <w:pStyle w:val="Caption"/>
        <w:jc w:val="center"/>
        <w:rPr>
          <w:rFonts w:cs="Times New Roman"/>
          <w:b w:val="0"/>
          <w:color w:val="auto"/>
          <w:sz w:val="20"/>
          <w:szCs w:val="20"/>
        </w:rPr>
      </w:pPr>
      <w:bookmarkStart w:id="4" w:name="_heading=h.1mrcu09" w:colFirst="0" w:colLast="0"/>
      <w:bookmarkEnd w:id="4"/>
      <w:r>
        <w:rPr>
          <w:rFonts w:cs="Times New Roman"/>
          <w:b w:val="0"/>
          <w:color w:val="auto"/>
          <w:sz w:val="20"/>
          <w:szCs w:val="20"/>
        </w:rPr>
        <w:t xml:space="preserve">Table 3. </w:t>
      </w:r>
      <w:r>
        <w:rPr>
          <w:rFonts w:eastAsia="Times New Roman" w:cs="Times New Roman"/>
          <w:b w:val="0"/>
          <w:color w:val="auto"/>
          <w:sz w:val="20"/>
          <w:szCs w:val="20"/>
        </w:rPr>
        <w:t>Acceleration of bedrock at T = 1 second</w:t>
      </w:r>
    </w:p>
    <w:p w14:paraId="2B85B020" w14:textId="77777777" w:rsidR="00CA20B8" w:rsidRDefault="003225D9">
      <w:pPr>
        <w:spacing w:after="0"/>
        <w:ind w:firstLine="432"/>
        <w:jc w:val="both"/>
        <w:rPr>
          <w:rFonts w:eastAsia="Times New Roman" w:cs="Times New Roman"/>
          <w:szCs w:val="24"/>
        </w:rPr>
      </w:pPr>
      <w:r>
        <w:rPr>
          <w:rFonts w:eastAsia="Times New Roman" w:cs="Times New Roman"/>
          <w:sz w:val="20"/>
          <w:szCs w:val="20"/>
        </w:rPr>
        <w:t xml:space="preserve">Based on the analysis results from Table 3. Probably the maximum PGA value of 2.30 g is found in the West </w:t>
      </w:r>
      <w:proofErr w:type="spellStart"/>
      <w:r>
        <w:rPr>
          <w:rFonts w:eastAsia="Times New Roman" w:cs="Times New Roman"/>
          <w:sz w:val="20"/>
          <w:szCs w:val="20"/>
        </w:rPr>
        <w:t>Siberut</w:t>
      </w:r>
      <w:proofErr w:type="spellEnd"/>
      <w:r>
        <w:rPr>
          <w:rFonts w:eastAsia="Times New Roman" w:cs="Times New Roman"/>
          <w:sz w:val="20"/>
          <w:szCs w:val="20"/>
        </w:rPr>
        <w:t xml:space="preserve"> and Southwest </w:t>
      </w:r>
      <w:proofErr w:type="spellStart"/>
      <w:r>
        <w:rPr>
          <w:rFonts w:eastAsia="Times New Roman" w:cs="Times New Roman"/>
          <w:sz w:val="20"/>
          <w:szCs w:val="20"/>
        </w:rPr>
        <w:t>Siberut</w:t>
      </w:r>
      <w:proofErr w:type="spellEnd"/>
      <w:r>
        <w:rPr>
          <w:rFonts w:eastAsia="Times New Roman" w:cs="Times New Roman"/>
          <w:sz w:val="20"/>
          <w:szCs w:val="20"/>
        </w:rPr>
        <w:t xml:space="preserve"> areas. As for South </w:t>
      </w:r>
      <w:proofErr w:type="spellStart"/>
      <w:r>
        <w:rPr>
          <w:rFonts w:eastAsia="Times New Roman" w:cs="Times New Roman"/>
          <w:sz w:val="20"/>
          <w:szCs w:val="20"/>
        </w:rPr>
        <w:t>Siberut</w:t>
      </w:r>
      <w:proofErr w:type="spellEnd"/>
      <w:r>
        <w:rPr>
          <w:rFonts w:eastAsia="Times New Roman" w:cs="Times New Roman"/>
          <w:sz w:val="20"/>
          <w:szCs w:val="20"/>
        </w:rPr>
        <w:t xml:space="preserve">, Central </w:t>
      </w:r>
      <w:proofErr w:type="spellStart"/>
      <w:r>
        <w:rPr>
          <w:rFonts w:eastAsia="Times New Roman" w:cs="Times New Roman"/>
          <w:sz w:val="20"/>
          <w:szCs w:val="20"/>
        </w:rPr>
        <w:t>Siberut</w:t>
      </w:r>
      <w:proofErr w:type="spellEnd"/>
      <w:r>
        <w:rPr>
          <w:rFonts w:eastAsia="Times New Roman" w:cs="Times New Roman"/>
          <w:sz w:val="20"/>
          <w:szCs w:val="20"/>
        </w:rPr>
        <w:t xml:space="preserve">, South </w:t>
      </w:r>
      <w:proofErr w:type="spellStart"/>
      <w:r>
        <w:rPr>
          <w:rFonts w:eastAsia="Times New Roman" w:cs="Times New Roman"/>
          <w:sz w:val="20"/>
          <w:szCs w:val="20"/>
        </w:rPr>
        <w:t>Sipora</w:t>
      </w:r>
      <w:proofErr w:type="spellEnd"/>
      <w:r>
        <w:rPr>
          <w:rFonts w:eastAsia="Times New Roman" w:cs="Times New Roman"/>
          <w:sz w:val="20"/>
          <w:szCs w:val="20"/>
        </w:rPr>
        <w:t xml:space="preserve"> and North </w:t>
      </w:r>
      <w:proofErr w:type="spellStart"/>
      <w:r>
        <w:rPr>
          <w:rFonts w:eastAsia="Times New Roman" w:cs="Times New Roman"/>
          <w:sz w:val="20"/>
          <w:szCs w:val="20"/>
        </w:rPr>
        <w:t>Sipora</w:t>
      </w:r>
      <w:proofErr w:type="spellEnd"/>
      <w:r>
        <w:rPr>
          <w:rFonts w:eastAsia="Times New Roman" w:cs="Times New Roman"/>
          <w:sz w:val="20"/>
          <w:szCs w:val="20"/>
        </w:rPr>
        <w:t xml:space="preserve"> it was 1.26 g – 1.95 g, North </w:t>
      </w:r>
      <w:proofErr w:type="spellStart"/>
      <w:r>
        <w:rPr>
          <w:rFonts w:eastAsia="Times New Roman" w:cs="Times New Roman"/>
          <w:sz w:val="20"/>
          <w:szCs w:val="20"/>
        </w:rPr>
        <w:t>Siberut</w:t>
      </w:r>
      <w:proofErr w:type="spellEnd"/>
      <w:r>
        <w:rPr>
          <w:rFonts w:eastAsia="Times New Roman" w:cs="Times New Roman"/>
          <w:sz w:val="20"/>
          <w:szCs w:val="20"/>
        </w:rPr>
        <w:t xml:space="preserve"> 1.61 g – 1.95 g, North </w:t>
      </w:r>
      <w:proofErr w:type="spellStart"/>
      <w:r>
        <w:rPr>
          <w:rFonts w:eastAsia="Times New Roman" w:cs="Times New Roman"/>
          <w:sz w:val="20"/>
          <w:szCs w:val="20"/>
        </w:rPr>
        <w:t>Pagai</w:t>
      </w:r>
      <w:proofErr w:type="spellEnd"/>
      <w:r>
        <w:rPr>
          <w:rFonts w:eastAsia="Times New Roman" w:cs="Times New Roman"/>
          <w:sz w:val="20"/>
          <w:szCs w:val="20"/>
        </w:rPr>
        <w:t xml:space="preserve"> 0.9 g – 1.26 g. Small maximum PGA of 0.57 g – 1.26 g, namely the South </w:t>
      </w:r>
      <w:proofErr w:type="spellStart"/>
      <w:r>
        <w:rPr>
          <w:rFonts w:eastAsia="Times New Roman" w:cs="Times New Roman"/>
          <w:sz w:val="20"/>
          <w:szCs w:val="20"/>
        </w:rPr>
        <w:t>Pagai</w:t>
      </w:r>
      <w:proofErr w:type="spellEnd"/>
      <w:r>
        <w:rPr>
          <w:rFonts w:eastAsia="Times New Roman" w:cs="Times New Roman"/>
          <w:sz w:val="20"/>
          <w:szCs w:val="20"/>
        </w:rPr>
        <w:t xml:space="preserve"> area</w:t>
      </w:r>
      <w:r>
        <w:rPr>
          <w:rFonts w:eastAsia="Times New Roman" w:cs="Times New Roman"/>
          <w:szCs w:val="24"/>
        </w:rPr>
        <w:t>.</w:t>
      </w:r>
    </w:p>
    <w:p w14:paraId="42C28788" w14:textId="77777777" w:rsidR="00CA20B8" w:rsidRDefault="003225D9">
      <w:pPr>
        <w:spacing w:after="0"/>
        <w:ind w:firstLine="432"/>
        <w:jc w:val="both"/>
        <w:rPr>
          <w:rFonts w:eastAsia="Times New Roman" w:cs="Times New Roman"/>
          <w:color w:val="000000"/>
          <w:sz w:val="20"/>
          <w:szCs w:val="20"/>
        </w:rPr>
      </w:pPr>
      <w:r>
        <w:rPr>
          <w:rFonts w:eastAsia="Times New Roman" w:cs="Times New Roman"/>
          <w:sz w:val="20"/>
          <w:szCs w:val="20"/>
        </w:rPr>
        <w:lastRenderedPageBreak/>
        <w:t>The results of the study in the Mentawai region obtained an a-value of 7,302 and a b-value of 0.97.</w:t>
      </w:r>
      <w:r>
        <w:rPr>
          <w:rFonts w:eastAsia="Times New Roman" w:cs="Times New Roman"/>
          <w:sz w:val="20"/>
          <w:szCs w:val="20"/>
        </w:rPr>
        <w:t xml:space="preserve"> </w:t>
      </w:r>
      <w:r>
        <w:rPr>
          <w:rFonts w:eastAsia="Times New Roman" w:cs="Times New Roman"/>
          <w:color w:val="000000"/>
          <w:sz w:val="20"/>
          <w:szCs w:val="20"/>
        </w:rPr>
        <w:t xml:space="preserve">This is in </w:t>
      </w:r>
      <w:r>
        <w:rPr>
          <w:rFonts w:eastAsia="Times New Roman" w:cs="Times New Roman"/>
          <w:sz w:val="20"/>
          <w:szCs w:val="20"/>
        </w:rPr>
        <w:t xml:space="preserve">accordance </w:t>
      </w:r>
      <w:r>
        <w:rPr>
          <w:rFonts w:eastAsia="Times New Roman" w:cs="Times New Roman"/>
          <w:color w:val="000000"/>
          <w:sz w:val="20"/>
          <w:szCs w:val="20"/>
        </w:rPr>
        <w:t xml:space="preserve">with </w:t>
      </w:r>
      <w:proofErr w:type="spellStart"/>
      <w:r>
        <w:rPr>
          <w:rFonts w:eastAsia="Times New Roman" w:cs="Times New Roman"/>
          <w:color w:val="000000"/>
          <w:sz w:val="20"/>
          <w:szCs w:val="20"/>
        </w:rPr>
        <w:t>Raharjo's</w:t>
      </w:r>
      <w:proofErr w:type="spellEnd"/>
      <w:r>
        <w:rPr>
          <w:rFonts w:eastAsia="Times New Roman" w:cs="Times New Roman"/>
          <w:color w:val="000000"/>
          <w:sz w:val="20"/>
          <w:szCs w:val="20"/>
        </w:rPr>
        <w:t xml:space="preserve"> research </w:t>
      </w:r>
      <w:r>
        <w:rPr>
          <w:rFonts w:eastAsia="Times New Roman" w:cs="Times New Roman"/>
          <w:sz w:val="20"/>
          <w:szCs w:val="20"/>
        </w:rPr>
        <w:t xml:space="preserve">on </w:t>
      </w:r>
      <w:r>
        <w:rPr>
          <w:rFonts w:eastAsia="Times New Roman" w:cs="Times New Roman"/>
          <w:color w:val="000000"/>
          <w:sz w:val="20"/>
          <w:szCs w:val="20"/>
        </w:rPr>
        <w:t xml:space="preserve">the year 2016 </w:t>
      </w:r>
      <w:r>
        <w:rPr>
          <w:rFonts w:eastAsia="Times New Roman" w:cs="Times New Roman"/>
          <w:sz w:val="20"/>
          <w:szCs w:val="20"/>
        </w:rPr>
        <w:t xml:space="preserve">where </w:t>
      </w:r>
      <w:r>
        <w:rPr>
          <w:rFonts w:eastAsia="Times New Roman" w:cs="Times New Roman"/>
          <w:color w:val="000000"/>
          <w:sz w:val="20"/>
          <w:szCs w:val="20"/>
        </w:rPr>
        <w:t xml:space="preserve">the higher the value of the constant a then </w:t>
      </w:r>
      <w:r>
        <w:rPr>
          <w:rFonts w:eastAsia="Times New Roman" w:cs="Times New Roman"/>
          <w:sz w:val="20"/>
          <w:szCs w:val="20"/>
        </w:rPr>
        <w:t>activity</w:t>
      </w:r>
      <w:r>
        <w:rPr>
          <w:rFonts w:eastAsia="Times New Roman" w:cs="Times New Roman"/>
          <w:color w:val="000000"/>
          <w:sz w:val="20"/>
          <w:szCs w:val="20"/>
        </w:rPr>
        <w:t xml:space="preserve"> seismicity in an area will also be higher. </w:t>
      </w:r>
      <w:r>
        <w:rPr>
          <w:rFonts w:eastAsia="Times New Roman" w:cs="Times New Roman"/>
          <w:sz w:val="20"/>
          <w:szCs w:val="20"/>
        </w:rPr>
        <w:t xml:space="preserve">Region </w:t>
      </w:r>
      <w:r>
        <w:rPr>
          <w:rFonts w:eastAsia="Times New Roman" w:cs="Times New Roman"/>
          <w:color w:val="000000"/>
          <w:sz w:val="20"/>
          <w:szCs w:val="20"/>
        </w:rPr>
        <w:t>Mentawai also has a maximum PGA value of 3.70 g which, if linked in table 2. has an</w:t>
      </w:r>
      <w:r>
        <w:rPr>
          <w:rFonts w:eastAsia="Times New Roman" w:cs="Times New Roman"/>
          <w:color w:val="000000"/>
          <w:sz w:val="20"/>
          <w:szCs w:val="20"/>
        </w:rPr>
        <w:t xml:space="preserve"> intensity of VIII MMI where the earthquake caused includes the earthquake felt.</w:t>
      </w:r>
    </w:p>
    <w:p w14:paraId="3BD636F6" w14:textId="06E5A2B9" w:rsidR="00CA20B8" w:rsidRDefault="003225D9">
      <w:pPr>
        <w:spacing w:after="0"/>
        <w:ind w:firstLine="432"/>
        <w:jc w:val="both"/>
        <w:rPr>
          <w:rFonts w:eastAsia="Times New Roman" w:cs="Times New Roman"/>
          <w:sz w:val="20"/>
          <w:szCs w:val="20"/>
        </w:rPr>
      </w:pPr>
      <w:r>
        <w:rPr>
          <w:rFonts w:eastAsia="Times New Roman" w:cs="Times New Roman"/>
          <w:sz w:val="20"/>
          <w:szCs w:val="20"/>
        </w:rPr>
        <w:t>Based on the three PGA values at 0 seconds, 0.5 seconds, and 1 second, the highest PGA values</w:t>
      </w:r>
      <w:r>
        <w:rPr>
          <w:rFonts w:eastAsia="Times New Roman" w:cs="Times New Roman"/>
          <w:sz w:val="20"/>
          <w:szCs w:val="20"/>
        </w:rPr>
        <w:t xml:space="preserve"> </w:t>
      </w:r>
      <w:r>
        <w:rPr>
          <w:rFonts w:eastAsia="Times New Roman" w:cs="Times New Roman"/>
          <w:sz w:val="20"/>
          <w:szCs w:val="20"/>
        </w:rPr>
        <w:t xml:space="preserve">are found in the </w:t>
      </w:r>
      <w:proofErr w:type="spellStart"/>
      <w:r>
        <w:rPr>
          <w:rFonts w:eastAsia="Times New Roman" w:cs="Times New Roman"/>
          <w:sz w:val="20"/>
          <w:szCs w:val="20"/>
        </w:rPr>
        <w:t>Siberut</w:t>
      </w:r>
      <w:proofErr w:type="spellEnd"/>
      <w:r>
        <w:rPr>
          <w:rFonts w:eastAsia="Times New Roman" w:cs="Times New Roman"/>
          <w:sz w:val="20"/>
          <w:szCs w:val="20"/>
        </w:rPr>
        <w:t xml:space="preserve"> area. Although the intensity obtained is the same as in </w:t>
      </w:r>
      <w:r>
        <w:rPr>
          <w:rFonts w:eastAsia="Times New Roman" w:cs="Times New Roman"/>
          <w:sz w:val="20"/>
          <w:szCs w:val="20"/>
        </w:rPr>
        <w:t>other regions, the earthquake felt differently because the acceleration in the bedrock is 3.41 g – 3.70 g. This is because the Mentawai Islands region is in a subduction zone and is traversed by the Mentawai fault and has a history of seismicity that can b</w:t>
      </w:r>
      <w:r>
        <w:rPr>
          <w:rFonts w:eastAsia="Times New Roman" w:cs="Times New Roman"/>
          <w:sz w:val="20"/>
          <w:szCs w:val="20"/>
        </w:rPr>
        <w:t xml:space="preserve">e categorized as a destructive earthquake, making this area a high seismic hazard. </w:t>
      </w:r>
    </w:p>
    <w:p w14:paraId="3D37C322" w14:textId="399CDC45" w:rsidR="006C07D5" w:rsidRDefault="006C07D5">
      <w:pPr>
        <w:spacing w:after="0"/>
        <w:ind w:firstLine="432"/>
        <w:jc w:val="both"/>
        <w:rPr>
          <w:rFonts w:eastAsia="Times New Roman" w:cs="Times New Roman"/>
          <w:sz w:val="20"/>
          <w:szCs w:val="20"/>
        </w:rPr>
      </w:pPr>
      <w:r w:rsidRPr="006C07D5">
        <w:rPr>
          <w:rFonts w:eastAsia="Times New Roman" w:cs="Times New Roman"/>
          <w:sz w:val="20"/>
          <w:szCs w:val="20"/>
        </w:rPr>
        <w:t xml:space="preserve">The results of </w:t>
      </w:r>
      <w:proofErr w:type="spellStart"/>
      <w:r w:rsidRPr="006C07D5">
        <w:rPr>
          <w:rFonts w:eastAsia="Times New Roman" w:cs="Times New Roman"/>
          <w:sz w:val="20"/>
          <w:szCs w:val="20"/>
        </w:rPr>
        <w:t>Setyanta</w:t>
      </w:r>
      <w:proofErr w:type="spellEnd"/>
      <w:r w:rsidRPr="006C07D5">
        <w:rPr>
          <w:rFonts w:eastAsia="Times New Roman" w:cs="Times New Roman"/>
          <w:sz w:val="20"/>
          <w:szCs w:val="20"/>
        </w:rPr>
        <w:t xml:space="preserve">, B. (2015) research in the </w:t>
      </w:r>
      <w:proofErr w:type="spellStart"/>
      <w:r w:rsidRPr="006C07D5">
        <w:rPr>
          <w:rFonts w:eastAsia="Times New Roman" w:cs="Times New Roman"/>
          <w:sz w:val="20"/>
          <w:szCs w:val="20"/>
        </w:rPr>
        <w:t>Siberut</w:t>
      </w:r>
      <w:proofErr w:type="spellEnd"/>
      <w:r w:rsidRPr="006C07D5">
        <w:rPr>
          <w:rFonts w:eastAsia="Times New Roman" w:cs="Times New Roman"/>
          <w:sz w:val="20"/>
          <w:szCs w:val="20"/>
        </w:rPr>
        <w:t xml:space="preserve"> area are covered by accretionary rock (</w:t>
      </w:r>
      <w:proofErr w:type="spellStart"/>
      <w:r w:rsidRPr="006C07D5">
        <w:rPr>
          <w:rFonts w:eastAsia="Times New Roman" w:cs="Times New Roman"/>
          <w:sz w:val="20"/>
          <w:szCs w:val="20"/>
        </w:rPr>
        <w:t>bancuh</w:t>
      </w:r>
      <w:proofErr w:type="spellEnd"/>
      <w:r w:rsidRPr="006C07D5">
        <w:rPr>
          <w:rFonts w:eastAsia="Times New Roman" w:cs="Times New Roman"/>
          <w:sz w:val="20"/>
          <w:szCs w:val="20"/>
        </w:rPr>
        <w:t xml:space="preserve">) a mixture of oceanic crust material and the surrounding rock with a density of about 2.50 gr/cc and andesitic crustal rock with an average density of 2.8 gr/cc, the </w:t>
      </w:r>
      <w:proofErr w:type="spellStart"/>
      <w:r w:rsidRPr="006C07D5">
        <w:rPr>
          <w:rFonts w:eastAsia="Times New Roman" w:cs="Times New Roman"/>
          <w:sz w:val="20"/>
          <w:szCs w:val="20"/>
        </w:rPr>
        <w:t>Siberut</w:t>
      </w:r>
      <w:proofErr w:type="spellEnd"/>
      <w:r w:rsidRPr="006C07D5">
        <w:rPr>
          <w:rFonts w:eastAsia="Times New Roman" w:cs="Times New Roman"/>
          <w:sz w:val="20"/>
          <w:szCs w:val="20"/>
        </w:rPr>
        <w:t xml:space="preserve"> Island area which is covered by </w:t>
      </w:r>
      <w:proofErr w:type="spellStart"/>
      <w:r w:rsidRPr="006C07D5">
        <w:rPr>
          <w:rFonts w:eastAsia="Times New Roman" w:cs="Times New Roman"/>
          <w:sz w:val="20"/>
          <w:szCs w:val="20"/>
        </w:rPr>
        <w:t>Bancuh</w:t>
      </w:r>
      <w:proofErr w:type="spellEnd"/>
      <w:r w:rsidRPr="006C07D5">
        <w:rPr>
          <w:rFonts w:eastAsia="Times New Roman" w:cs="Times New Roman"/>
          <w:sz w:val="20"/>
          <w:szCs w:val="20"/>
        </w:rPr>
        <w:t xml:space="preserve"> bedrock is not very stable because the lithological consolidation is less compact and the density is rather small as the bedrock is less stable. Based on the results of the PGA the </w:t>
      </w:r>
      <w:proofErr w:type="spellStart"/>
      <w:r w:rsidRPr="006C07D5">
        <w:rPr>
          <w:rFonts w:eastAsia="Times New Roman" w:cs="Times New Roman"/>
          <w:sz w:val="20"/>
          <w:szCs w:val="20"/>
        </w:rPr>
        <w:t>Siberut</w:t>
      </w:r>
      <w:proofErr w:type="spellEnd"/>
      <w:r w:rsidRPr="006C07D5">
        <w:rPr>
          <w:rFonts w:eastAsia="Times New Roman" w:cs="Times New Roman"/>
          <w:sz w:val="20"/>
          <w:szCs w:val="20"/>
        </w:rPr>
        <w:t xml:space="preserve"> area shows a high value, this is influenced by one geological factor where the sedimentary rocks in this area are aged and the average mass density value of all segments also affects the undulation of the anomaly value with records of seawater and bedrock giving a larger portion than the sedimentary rock</w:t>
      </w:r>
      <w:r>
        <w:rPr>
          <w:rFonts w:eastAsia="Times New Roman" w:cs="Times New Roman"/>
          <w:sz w:val="20"/>
          <w:szCs w:val="20"/>
        </w:rPr>
        <w:t xml:space="preserve"> [14].</w:t>
      </w:r>
    </w:p>
    <w:p w14:paraId="24074AF1" w14:textId="77777777" w:rsidR="00CA20B8" w:rsidRDefault="00CA20B8">
      <w:pPr>
        <w:pStyle w:val="IJASEITParagraph"/>
        <w:ind w:firstLine="426"/>
        <w:rPr>
          <w:rFonts w:cs="Times New Roman"/>
          <w:szCs w:val="20"/>
        </w:rPr>
      </w:pPr>
    </w:p>
    <w:p w14:paraId="46D2D5A5" w14:textId="77777777" w:rsidR="00CA20B8" w:rsidRDefault="003225D9">
      <w:pPr>
        <w:pStyle w:val="Heading1"/>
        <w:numPr>
          <w:ilvl w:val="0"/>
          <w:numId w:val="5"/>
        </w:numPr>
        <w:spacing w:before="240" w:after="240" w:line="276" w:lineRule="auto"/>
        <w:ind w:left="0" w:firstLine="0"/>
        <w:jc w:val="left"/>
        <w:rPr>
          <w:bCs/>
          <w:sz w:val="21"/>
          <w:lang w:val="id-ID"/>
        </w:rPr>
      </w:pPr>
      <w:r>
        <w:rPr>
          <w:bCs/>
          <w:sz w:val="21"/>
        </w:rPr>
        <w:t>CONCLUSION</w:t>
      </w:r>
    </w:p>
    <w:p w14:paraId="215AE978" w14:textId="77777777" w:rsidR="00CA20B8" w:rsidRDefault="003225D9">
      <w:pPr>
        <w:spacing w:after="0"/>
        <w:ind w:firstLine="432"/>
        <w:jc w:val="both"/>
        <w:rPr>
          <w:rFonts w:eastAsia="Times New Roman" w:cs="Times New Roman"/>
          <w:color w:val="000000"/>
          <w:sz w:val="20"/>
          <w:szCs w:val="20"/>
        </w:rPr>
      </w:pPr>
      <w:r>
        <w:rPr>
          <w:rFonts w:eastAsia="Times New Roman" w:cs="Times New Roman"/>
          <w:color w:val="000000"/>
          <w:sz w:val="20"/>
          <w:szCs w:val="20"/>
        </w:rPr>
        <w:t xml:space="preserve">Seismic </w:t>
      </w:r>
      <w:r>
        <w:rPr>
          <w:rFonts w:eastAsia="Times New Roman" w:cs="Times New Roman"/>
          <w:sz w:val="20"/>
          <w:szCs w:val="20"/>
        </w:rPr>
        <w:t xml:space="preserve">hazard </w:t>
      </w:r>
      <w:r>
        <w:rPr>
          <w:rFonts w:eastAsia="Times New Roman" w:cs="Times New Roman"/>
          <w:color w:val="000000"/>
          <w:sz w:val="20"/>
          <w:szCs w:val="20"/>
        </w:rPr>
        <w:t xml:space="preserve">map for the Mentawai region, an area that has a </w:t>
      </w:r>
      <w:r>
        <w:rPr>
          <w:rFonts w:eastAsia="Times New Roman" w:cs="Times New Roman"/>
          <w:color w:val="000000"/>
          <w:sz w:val="20"/>
          <w:szCs w:val="20"/>
        </w:rPr>
        <w:t xml:space="preserve">high level of seismic hazard is in the </w:t>
      </w:r>
      <w:proofErr w:type="spellStart"/>
      <w:r>
        <w:rPr>
          <w:rFonts w:eastAsia="Times New Roman" w:cs="Times New Roman"/>
          <w:color w:val="000000"/>
          <w:sz w:val="20"/>
          <w:szCs w:val="20"/>
        </w:rPr>
        <w:t>Siberut</w:t>
      </w:r>
      <w:proofErr w:type="spellEnd"/>
      <w:r>
        <w:rPr>
          <w:rFonts w:eastAsia="Times New Roman" w:cs="Times New Roman"/>
          <w:color w:val="000000"/>
          <w:sz w:val="20"/>
          <w:szCs w:val="20"/>
        </w:rPr>
        <w:t xml:space="preserve"> region. This region has a maximum PGA value at T = 0 seconds of 1.17 g – 2.30 g, at T = 0.2 seconds of 3.41 g – 3.70 g, at T = 1 second of 1.26 g – 2.30 g. This seismic hazard map also shows areas with low sei</w:t>
      </w:r>
      <w:r>
        <w:rPr>
          <w:rFonts w:eastAsia="Times New Roman" w:cs="Times New Roman"/>
          <w:color w:val="000000"/>
          <w:sz w:val="20"/>
          <w:szCs w:val="20"/>
        </w:rPr>
        <w:t xml:space="preserve">smic hazard levels, namely the </w:t>
      </w:r>
      <w:proofErr w:type="spellStart"/>
      <w:r>
        <w:rPr>
          <w:rFonts w:eastAsia="Times New Roman" w:cs="Times New Roman"/>
          <w:color w:val="000000"/>
          <w:sz w:val="20"/>
          <w:szCs w:val="20"/>
        </w:rPr>
        <w:t>Pagai</w:t>
      </w:r>
      <w:proofErr w:type="spellEnd"/>
      <w:r>
        <w:rPr>
          <w:rFonts w:eastAsia="Times New Roman" w:cs="Times New Roman"/>
          <w:color w:val="000000"/>
          <w:sz w:val="20"/>
          <w:szCs w:val="20"/>
        </w:rPr>
        <w:t xml:space="preserve"> area. Although the intensity produced is the same, the earthquake felt is different because the acceleration in the bedrock is 0.80 g – 1.52 g at T = 0 seconds, 2.30 g – 2.86 g at T = 0.5 seconds and 0.57 g-1.27 g at T </w:t>
      </w:r>
      <w:r>
        <w:rPr>
          <w:rFonts w:eastAsia="Times New Roman" w:cs="Times New Roman"/>
          <w:color w:val="000000"/>
          <w:sz w:val="20"/>
          <w:szCs w:val="20"/>
        </w:rPr>
        <w:t>= 1 second.</w:t>
      </w:r>
    </w:p>
    <w:p w14:paraId="37BB61DB" w14:textId="77777777" w:rsidR="00CA20B8" w:rsidRDefault="003225D9">
      <w:pPr>
        <w:spacing w:after="0"/>
        <w:ind w:firstLine="432"/>
        <w:jc w:val="both"/>
        <w:rPr>
          <w:rFonts w:eastAsia="Times New Roman" w:cs="Times New Roman"/>
          <w:color w:val="000000"/>
          <w:sz w:val="20"/>
          <w:szCs w:val="20"/>
        </w:rPr>
      </w:pPr>
      <w:r>
        <w:rPr>
          <w:rFonts w:eastAsia="Times New Roman" w:cs="Times New Roman"/>
          <w:color w:val="000000"/>
          <w:sz w:val="20"/>
          <w:szCs w:val="20"/>
        </w:rPr>
        <w:t xml:space="preserve">Areas that have a hazard level </w:t>
      </w:r>
      <w:proofErr w:type="spellStart"/>
      <w:r>
        <w:rPr>
          <w:rFonts w:eastAsia="Times New Roman" w:cs="Times New Roman"/>
          <w:sz w:val="20"/>
          <w:szCs w:val="20"/>
        </w:rPr>
        <w:t>seismic</w:t>
      </w:r>
      <w:r>
        <w:rPr>
          <w:rFonts w:eastAsia="Times New Roman" w:cs="Times New Roman"/>
          <w:color w:val="000000"/>
          <w:sz w:val="20"/>
          <w:szCs w:val="20"/>
        </w:rPr>
        <w:t>how</w:t>
      </w:r>
      <w:proofErr w:type="spellEnd"/>
      <w:r>
        <w:rPr>
          <w:rFonts w:eastAsia="Times New Roman" w:cs="Times New Roman"/>
          <w:color w:val="000000"/>
          <w:sz w:val="20"/>
          <w:szCs w:val="20"/>
        </w:rPr>
        <w:t xml:space="preserve"> high is in the </w:t>
      </w:r>
      <w:proofErr w:type="spellStart"/>
      <w:r>
        <w:rPr>
          <w:rFonts w:eastAsia="Times New Roman" w:cs="Times New Roman"/>
          <w:color w:val="000000"/>
          <w:sz w:val="20"/>
          <w:szCs w:val="20"/>
        </w:rPr>
        <w:t>Siberut</w:t>
      </w:r>
      <w:proofErr w:type="spellEnd"/>
      <w:r>
        <w:rPr>
          <w:rFonts w:eastAsia="Times New Roman" w:cs="Times New Roman"/>
          <w:color w:val="000000"/>
          <w:sz w:val="20"/>
          <w:szCs w:val="20"/>
        </w:rPr>
        <w:t xml:space="preserve"> area and the area with low seismic hazard is in the </w:t>
      </w:r>
      <w:proofErr w:type="spellStart"/>
      <w:r>
        <w:rPr>
          <w:rFonts w:eastAsia="Times New Roman" w:cs="Times New Roman"/>
          <w:color w:val="000000"/>
          <w:sz w:val="20"/>
          <w:szCs w:val="20"/>
        </w:rPr>
        <w:t>Pagai</w:t>
      </w:r>
      <w:proofErr w:type="spellEnd"/>
      <w:r>
        <w:rPr>
          <w:rFonts w:eastAsia="Times New Roman" w:cs="Times New Roman"/>
          <w:color w:val="000000"/>
          <w:sz w:val="20"/>
          <w:szCs w:val="20"/>
        </w:rPr>
        <w:t xml:space="preserve"> area. The probability of earthquake hazard in the Mentawai region is dominated by subduction zone earthquake sources. Alt</w:t>
      </w:r>
      <w:r>
        <w:rPr>
          <w:rFonts w:eastAsia="Times New Roman" w:cs="Times New Roman"/>
          <w:color w:val="000000"/>
          <w:sz w:val="20"/>
          <w:szCs w:val="20"/>
        </w:rPr>
        <w:t>hough the intensity of the Mentawai region is at the same level, due to the difference in the value of the acceleration in the resulting bedrock, the resulting earthquake is different.</w:t>
      </w:r>
    </w:p>
    <w:p w14:paraId="2AA5F06B" w14:textId="77777777" w:rsidR="00CA20B8" w:rsidRDefault="00CA20B8">
      <w:pPr>
        <w:spacing w:after="0" w:line="240" w:lineRule="auto"/>
        <w:ind w:firstLine="426"/>
        <w:jc w:val="both"/>
        <w:rPr>
          <w:rFonts w:eastAsia="SimSun" w:cs="Times New Roman"/>
          <w:sz w:val="20"/>
          <w:szCs w:val="20"/>
        </w:rPr>
      </w:pPr>
    </w:p>
    <w:p w14:paraId="3B04F4E4" w14:textId="77777777" w:rsidR="00CA20B8" w:rsidRDefault="003225D9">
      <w:pPr>
        <w:pStyle w:val="Acknowledgement"/>
        <w:rPr>
          <w:lang w:val="en-US"/>
        </w:rPr>
      </w:pPr>
      <w:r>
        <w:rPr>
          <w:lang w:val="en-US"/>
        </w:rPr>
        <w:t xml:space="preserve">ACKNOWLEDGMENT </w:t>
      </w:r>
    </w:p>
    <w:p w14:paraId="48339543" w14:textId="77777777" w:rsidR="00CA20B8" w:rsidRDefault="003225D9">
      <w:pPr>
        <w:jc w:val="both"/>
        <w:rPr>
          <w:rFonts w:cs="Times New Roman"/>
          <w:sz w:val="20"/>
          <w:szCs w:val="20"/>
        </w:rPr>
      </w:pPr>
      <w:r>
        <w:rPr>
          <w:rFonts w:cs="Times New Roman"/>
          <w:sz w:val="20"/>
          <w:szCs w:val="20"/>
        </w:rPr>
        <w:t xml:space="preserve">In this study using software ZMAP, MATLAB, </w:t>
      </w:r>
      <w:proofErr w:type="spellStart"/>
      <w:r>
        <w:rPr>
          <w:rFonts w:cs="Times New Roman"/>
          <w:sz w:val="20"/>
          <w:szCs w:val="20"/>
        </w:rPr>
        <w:t>ArcGis</w:t>
      </w:r>
      <w:proofErr w:type="spellEnd"/>
      <w:r>
        <w:rPr>
          <w:rFonts w:cs="Times New Roman"/>
          <w:sz w:val="20"/>
          <w:szCs w:val="20"/>
        </w:rPr>
        <w:t xml:space="preserve"> and </w:t>
      </w:r>
      <w:r>
        <w:rPr>
          <w:rFonts w:cs="Times New Roman"/>
          <w:sz w:val="20"/>
          <w:szCs w:val="20"/>
        </w:rPr>
        <w:t xml:space="preserve">USGS 2017 applications. </w:t>
      </w:r>
      <w:r>
        <w:rPr>
          <w:rFonts w:eastAsia="Times New Roman" w:cs="Times New Roman"/>
          <w:sz w:val="20"/>
          <w:szCs w:val="20"/>
        </w:rPr>
        <w:t>Data earthquake This research was obtained from the website of the National Earthquake Information Center US Geological Surveys (NEIC/USGS) that occurred in the period 1950 - 2021</w:t>
      </w:r>
    </w:p>
    <w:p w14:paraId="7DF1FB49" w14:textId="77777777" w:rsidR="00CA20B8" w:rsidRDefault="003225D9">
      <w:pPr>
        <w:pStyle w:val="Acknowledgement"/>
      </w:pPr>
      <w:r>
        <w:rPr>
          <w:lang w:val="en-US"/>
        </w:rPr>
        <w:t>REFERENCES</w:t>
      </w:r>
    </w:p>
    <w:p w14:paraId="47421874" w14:textId="77777777" w:rsidR="00CA20B8" w:rsidRDefault="003225D9">
      <w:pPr>
        <w:widowControl w:val="0"/>
        <w:autoSpaceDE w:val="0"/>
        <w:autoSpaceDN w:val="0"/>
        <w:adjustRightInd w:val="0"/>
        <w:spacing w:after="0" w:line="240" w:lineRule="auto"/>
        <w:ind w:left="640" w:hanging="640"/>
        <w:jc w:val="both"/>
        <w:rPr>
          <w:rFonts w:cs="Times New Roman"/>
          <w:sz w:val="20"/>
          <w:szCs w:val="20"/>
        </w:rPr>
      </w:pPr>
      <w:r>
        <w:rPr>
          <w:sz w:val="20"/>
          <w:szCs w:val="20"/>
          <w:lang w:val="id-ID"/>
        </w:rPr>
        <w:fldChar w:fldCharType="begin"/>
      </w:r>
      <w:r>
        <w:rPr>
          <w:sz w:val="20"/>
          <w:szCs w:val="20"/>
          <w:lang w:val="id-ID"/>
        </w:rPr>
        <w:instrText xml:space="preserve">ADDIN Mendeley Bibliography CSL_BIBLIOGRAPHY </w:instrText>
      </w:r>
      <w:r>
        <w:rPr>
          <w:sz w:val="20"/>
          <w:szCs w:val="20"/>
          <w:lang w:val="id-ID"/>
        </w:rPr>
        <w:fldChar w:fldCharType="separate"/>
      </w:r>
      <w:r>
        <w:rPr>
          <w:rFonts w:cs="Times New Roman"/>
          <w:sz w:val="20"/>
          <w:szCs w:val="20"/>
        </w:rPr>
        <w:t>[1]</w:t>
      </w:r>
      <w:r>
        <w:rPr>
          <w:rFonts w:cs="Times New Roman"/>
          <w:sz w:val="20"/>
          <w:szCs w:val="20"/>
        </w:rPr>
        <w:tab/>
      </w:r>
      <w:proofErr w:type="spellStart"/>
      <w:r>
        <w:rPr>
          <w:rFonts w:cs="Times New Roman"/>
          <w:sz w:val="20"/>
          <w:szCs w:val="20"/>
        </w:rPr>
        <w:t>Madlazim</w:t>
      </w:r>
      <w:proofErr w:type="spellEnd"/>
      <w:r>
        <w:rPr>
          <w:rFonts w:cs="Times New Roman"/>
          <w:sz w:val="20"/>
          <w:szCs w:val="20"/>
        </w:rPr>
        <w:t xml:space="preserve">, “Preliminary Study on b Value of Earthquake in Sumatra in 1964-2013,” </w:t>
      </w:r>
      <w:r>
        <w:rPr>
          <w:rFonts w:cs="Times New Roman"/>
          <w:i/>
          <w:iCs/>
          <w:sz w:val="20"/>
          <w:szCs w:val="20"/>
        </w:rPr>
        <w:t>J. Phys. Res. Appl.</w:t>
      </w:r>
      <w:r>
        <w:rPr>
          <w:rFonts w:cs="Times New Roman"/>
          <w:sz w:val="20"/>
          <w:szCs w:val="20"/>
        </w:rPr>
        <w:t>, vol. 3, pp. 2087–9946, 2013.</w:t>
      </w:r>
    </w:p>
    <w:p w14:paraId="4DB0FA93" w14:textId="32F50206"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[2]</w:t>
      </w:r>
      <w:r>
        <w:rPr>
          <w:rFonts w:cs="Times New Roman"/>
          <w:sz w:val="20"/>
          <w:szCs w:val="20"/>
        </w:rPr>
        <w:tab/>
      </w:r>
      <w:proofErr w:type="spellStart"/>
      <w:r>
        <w:rPr>
          <w:rFonts w:cs="Times New Roman"/>
          <w:sz w:val="20"/>
          <w:szCs w:val="20"/>
        </w:rPr>
        <w:t>Syafriani</w:t>
      </w:r>
      <w:proofErr w:type="spellEnd"/>
      <w:r>
        <w:rPr>
          <w:rFonts w:cs="Times New Roman"/>
          <w:sz w:val="20"/>
          <w:szCs w:val="20"/>
        </w:rPr>
        <w:t xml:space="preserve">, </w:t>
      </w:r>
      <w:proofErr w:type="spellStart"/>
      <w:r>
        <w:rPr>
          <w:rFonts w:cs="Times New Roman"/>
          <w:sz w:val="20"/>
          <w:szCs w:val="20"/>
        </w:rPr>
        <w:t>Zalmi</w:t>
      </w:r>
      <w:proofErr w:type="spellEnd"/>
      <w:r>
        <w:rPr>
          <w:rFonts w:cs="Times New Roman"/>
          <w:sz w:val="20"/>
          <w:szCs w:val="20"/>
        </w:rPr>
        <w:t>. N, Grace. T, “Deterministic Earthquake Hazar</w:t>
      </w:r>
      <w:r>
        <w:rPr>
          <w:rFonts w:cs="Times New Roman"/>
          <w:sz w:val="20"/>
          <w:szCs w:val="20"/>
        </w:rPr>
        <w:t xml:space="preserve">d Mapping with Peak Ground Acceleration (PGA) approach in Padang City.,” </w:t>
      </w:r>
      <w:r>
        <w:rPr>
          <w:rFonts w:cs="Times New Roman"/>
          <w:i/>
          <w:iCs/>
          <w:sz w:val="20"/>
          <w:szCs w:val="20"/>
        </w:rPr>
        <w:t>Pillar Phys.</w:t>
      </w:r>
      <w:r>
        <w:rPr>
          <w:rFonts w:cs="Times New Roman"/>
          <w:sz w:val="20"/>
          <w:szCs w:val="20"/>
        </w:rPr>
        <w:t>, vol. 11, p. 2, 2018.</w:t>
      </w:r>
    </w:p>
    <w:p w14:paraId="1989AA7A" w14:textId="77777777"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[3]</w:t>
      </w:r>
      <w:r>
        <w:rPr>
          <w:rFonts w:cs="Times New Roman"/>
          <w:sz w:val="20"/>
          <w:szCs w:val="20"/>
        </w:rPr>
        <w:tab/>
        <w:t xml:space="preserve">D. </w:t>
      </w:r>
      <w:proofErr w:type="spellStart"/>
      <w:r>
        <w:rPr>
          <w:rFonts w:cs="Times New Roman"/>
          <w:sz w:val="20"/>
          <w:szCs w:val="20"/>
        </w:rPr>
        <w:t>Edwiza</w:t>
      </w:r>
      <w:proofErr w:type="spellEnd"/>
      <w:r>
        <w:rPr>
          <w:rFonts w:cs="Times New Roman"/>
          <w:sz w:val="20"/>
          <w:szCs w:val="20"/>
        </w:rPr>
        <w:t xml:space="preserve">, </w:t>
      </w:r>
      <w:r>
        <w:rPr>
          <w:rFonts w:cs="Times New Roman"/>
          <w:i/>
          <w:iCs/>
          <w:sz w:val="20"/>
          <w:szCs w:val="20"/>
        </w:rPr>
        <w:t>Analysis of the Maximum Soil Intensity and Acceleration of the West Sumatra Earthquake.</w:t>
      </w:r>
      <w:r>
        <w:rPr>
          <w:rFonts w:cs="Times New Roman"/>
          <w:sz w:val="20"/>
          <w:szCs w:val="20"/>
        </w:rPr>
        <w:t xml:space="preserve"> 2008.</w:t>
      </w:r>
    </w:p>
    <w:p w14:paraId="515DD253" w14:textId="77777777"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[4]</w:t>
      </w:r>
      <w:r>
        <w:rPr>
          <w:rFonts w:cs="Times New Roman"/>
          <w:sz w:val="20"/>
          <w:szCs w:val="20"/>
        </w:rPr>
        <w:tab/>
        <w:t xml:space="preserve">M. </w:t>
      </w:r>
      <w:proofErr w:type="spellStart"/>
      <w:r>
        <w:rPr>
          <w:rFonts w:cs="Times New Roman"/>
          <w:sz w:val="20"/>
          <w:szCs w:val="20"/>
        </w:rPr>
        <w:t>Rohadi</w:t>
      </w:r>
      <w:proofErr w:type="spellEnd"/>
      <w:r>
        <w:rPr>
          <w:rFonts w:cs="Times New Roman"/>
          <w:sz w:val="20"/>
          <w:szCs w:val="20"/>
        </w:rPr>
        <w:t xml:space="preserve">, S., Grandis, H. &amp; </w:t>
      </w:r>
      <w:proofErr w:type="spellStart"/>
      <w:r>
        <w:rPr>
          <w:rFonts w:cs="Times New Roman"/>
          <w:sz w:val="20"/>
          <w:szCs w:val="20"/>
        </w:rPr>
        <w:t>Ratag</w:t>
      </w:r>
      <w:proofErr w:type="spellEnd"/>
      <w:r>
        <w:rPr>
          <w:rFonts w:cs="Times New Roman"/>
          <w:sz w:val="20"/>
          <w:szCs w:val="20"/>
        </w:rPr>
        <w:t>,</w:t>
      </w:r>
      <w:r>
        <w:rPr>
          <w:rFonts w:cs="Times New Roman"/>
          <w:sz w:val="20"/>
          <w:szCs w:val="20"/>
        </w:rPr>
        <w:t xml:space="preserve"> “Study of Seismotectonic Potential as Precursor to Seismic Levels in Sumatra Region.,” </w:t>
      </w:r>
      <w:r>
        <w:rPr>
          <w:rFonts w:cs="Times New Roman"/>
          <w:i/>
          <w:iCs/>
          <w:sz w:val="20"/>
          <w:szCs w:val="20"/>
        </w:rPr>
        <w:t xml:space="preserve">J. </w:t>
      </w:r>
      <w:proofErr w:type="spellStart"/>
      <w:r>
        <w:rPr>
          <w:rFonts w:cs="Times New Roman"/>
          <w:i/>
          <w:iCs/>
          <w:sz w:val="20"/>
          <w:szCs w:val="20"/>
        </w:rPr>
        <w:t>Meteorol</w:t>
      </w:r>
      <w:proofErr w:type="spellEnd"/>
      <w:r>
        <w:rPr>
          <w:rFonts w:cs="Times New Roman"/>
          <w:i/>
          <w:iCs/>
          <w:sz w:val="20"/>
          <w:szCs w:val="20"/>
        </w:rPr>
        <w:t xml:space="preserve">. </w:t>
      </w:r>
      <w:proofErr w:type="spellStart"/>
      <w:r>
        <w:rPr>
          <w:rFonts w:cs="Times New Roman"/>
          <w:i/>
          <w:iCs/>
          <w:sz w:val="20"/>
          <w:szCs w:val="20"/>
        </w:rPr>
        <w:t>Geophys</w:t>
      </w:r>
      <w:proofErr w:type="spellEnd"/>
      <w:r>
        <w:rPr>
          <w:rFonts w:cs="Times New Roman"/>
          <w:i/>
          <w:iCs/>
          <w:sz w:val="20"/>
          <w:szCs w:val="20"/>
        </w:rPr>
        <w:t>.</w:t>
      </w:r>
      <w:r>
        <w:rPr>
          <w:rFonts w:cs="Times New Roman"/>
          <w:sz w:val="20"/>
          <w:szCs w:val="20"/>
        </w:rPr>
        <w:t>, vol. 9, pp. 101–108, 2008.</w:t>
      </w:r>
    </w:p>
    <w:p w14:paraId="175AA959" w14:textId="77777777"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[5]</w:t>
      </w:r>
      <w:r>
        <w:rPr>
          <w:rFonts w:cs="Times New Roman"/>
          <w:sz w:val="20"/>
          <w:szCs w:val="20"/>
        </w:rPr>
        <w:tab/>
        <w:t xml:space="preserve">H. Mukti, MM, Singh, SC, Deighton, I., </w:t>
      </w:r>
      <w:proofErr w:type="spellStart"/>
      <w:r>
        <w:rPr>
          <w:rFonts w:cs="Times New Roman"/>
          <w:sz w:val="20"/>
          <w:szCs w:val="20"/>
        </w:rPr>
        <w:t>Hananto</w:t>
      </w:r>
      <w:proofErr w:type="spellEnd"/>
      <w:r>
        <w:rPr>
          <w:rFonts w:cs="Times New Roman"/>
          <w:sz w:val="20"/>
          <w:szCs w:val="20"/>
        </w:rPr>
        <w:t xml:space="preserve">, ND, </w:t>
      </w:r>
      <w:proofErr w:type="spellStart"/>
      <w:r>
        <w:rPr>
          <w:rFonts w:cs="Times New Roman"/>
          <w:sz w:val="20"/>
          <w:szCs w:val="20"/>
        </w:rPr>
        <w:t>Moeremans</w:t>
      </w:r>
      <w:proofErr w:type="spellEnd"/>
      <w:r>
        <w:rPr>
          <w:rFonts w:cs="Times New Roman"/>
          <w:sz w:val="20"/>
          <w:szCs w:val="20"/>
        </w:rPr>
        <w:t xml:space="preserve">, R. &amp; </w:t>
      </w:r>
      <w:proofErr w:type="spellStart"/>
      <w:r>
        <w:rPr>
          <w:rFonts w:cs="Times New Roman"/>
          <w:sz w:val="20"/>
          <w:szCs w:val="20"/>
        </w:rPr>
        <w:t>Permana</w:t>
      </w:r>
      <w:proofErr w:type="spellEnd"/>
      <w:r>
        <w:rPr>
          <w:rFonts w:cs="Times New Roman"/>
          <w:sz w:val="20"/>
          <w:szCs w:val="20"/>
        </w:rPr>
        <w:t xml:space="preserve">, “Structural Evolution of </w:t>
      </w:r>
      <w:proofErr w:type="spellStart"/>
      <w:r>
        <w:rPr>
          <w:rFonts w:cs="Times New Roman"/>
          <w:sz w:val="20"/>
          <w:szCs w:val="20"/>
        </w:rPr>
        <w:t>Backthrustin</w:t>
      </w:r>
      <w:r>
        <w:rPr>
          <w:rFonts w:cs="Times New Roman"/>
          <w:sz w:val="20"/>
          <w:szCs w:val="20"/>
        </w:rPr>
        <w:t>g</w:t>
      </w:r>
      <w:proofErr w:type="spellEnd"/>
      <w:r>
        <w:rPr>
          <w:rFonts w:cs="Times New Roman"/>
          <w:sz w:val="20"/>
          <w:szCs w:val="20"/>
        </w:rPr>
        <w:t xml:space="preserve"> in the Mentawai Fault Zone, offshore Sumatran Forearc.,” </w:t>
      </w:r>
      <w:r>
        <w:rPr>
          <w:rFonts w:cs="Times New Roman"/>
          <w:i/>
          <w:iCs/>
          <w:sz w:val="20"/>
          <w:szCs w:val="20"/>
        </w:rPr>
        <w:t xml:space="preserve">Geochemistry </w:t>
      </w:r>
      <w:proofErr w:type="spellStart"/>
      <w:r>
        <w:rPr>
          <w:rFonts w:cs="Times New Roman"/>
          <w:i/>
          <w:iCs/>
          <w:sz w:val="20"/>
          <w:szCs w:val="20"/>
        </w:rPr>
        <w:t>Geophys</w:t>
      </w:r>
      <w:proofErr w:type="spellEnd"/>
      <w:r>
        <w:rPr>
          <w:rFonts w:cs="Times New Roman"/>
          <w:i/>
          <w:iCs/>
          <w:sz w:val="20"/>
          <w:szCs w:val="20"/>
        </w:rPr>
        <w:t>. Geosystems,</w:t>
      </w:r>
      <w:r>
        <w:rPr>
          <w:rFonts w:cs="Times New Roman"/>
          <w:sz w:val="20"/>
          <w:szCs w:val="20"/>
        </w:rPr>
        <w:t xml:space="preserve"> vol. 13, p. 1-21., 2012.</w:t>
      </w:r>
    </w:p>
    <w:p w14:paraId="0C1F8417" w14:textId="77777777"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[6]</w:t>
      </w:r>
      <w:r>
        <w:rPr>
          <w:rFonts w:cs="Times New Roman"/>
          <w:sz w:val="20"/>
          <w:szCs w:val="20"/>
        </w:rPr>
        <w:tab/>
        <w:t xml:space="preserve">A. P. Son, “District Disaster Mitigation-Based Spatial Planning Mentawai Islands,” </w:t>
      </w:r>
      <w:r>
        <w:rPr>
          <w:rFonts w:cs="Times New Roman"/>
          <w:i/>
          <w:iCs/>
          <w:sz w:val="20"/>
          <w:szCs w:val="20"/>
        </w:rPr>
        <w:t xml:space="preserve">, J. Disaster </w:t>
      </w:r>
      <w:proofErr w:type="spellStart"/>
      <w:r>
        <w:rPr>
          <w:rFonts w:cs="Times New Roman"/>
          <w:i/>
          <w:iCs/>
          <w:sz w:val="20"/>
          <w:szCs w:val="20"/>
        </w:rPr>
        <w:t>Manag</w:t>
      </w:r>
      <w:proofErr w:type="spellEnd"/>
      <w:r>
        <w:rPr>
          <w:rFonts w:cs="Times New Roman"/>
          <w:i/>
          <w:iCs/>
          <w:sz w:val="20"/>
          <w:szCs w:val="20"/>
        </w:rPr>
        <w:t>. Dialogue Vol. 2 Number 1, Year</w:t>
      </w:r>
      <w:r>
        <w:rPr>
          <w:rFonts w:cs="Times New Roman"/>
          <w:i/>
          <w:iCs/>
          <w:sz w:val="20"/>
          <w:szCs w:val="20"/>
        </w:rPr>
        <w:t xml:space="preserve"> 2011, pp.</w:t>
      </w:r>
      <w:r>
        <w:rPr>
          <w:rFonts w:cs="Times New Roman"/>
          <w:sz w:val="20"/>
          <w:szCs w:val="20"/>
        </w:rPr>
        <w:t>, pp. 11–20, 2011.</w:t>
      </w:r>
    </w:p>
    <w:p w14:paraId="301B2825" w14:textId="77777777"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[7]</w:t>
      </w:r>
      <w:r>
        <w:rPr>
          <w:rFonts w:cs="Times New Roman"/>
          <w:sz w:val="20"/>
          <w:szCs w:val="20"/>
        </w:rPr>
        <w:tab/>
        <w:t xml:space="preserve">M. T. G. and S. P. </w:t>
      </w:r>
      <w:proofErr w:type="spellStart"/>
      <w:r>
        <w:rPr>
          <w:rFonts w:cs="Times New Roman"/>
          <w:sz w:val="20"/>
          <w:szCs w:val="20"/>
        </w:rPr>
        <w:t>Sunarjo</w:t>
      </w:r>
      <w:proofErr w:type="spellEnd"/>
      <w:r>
        <w:rPr>
          <w:rFonts w:cs="Times New Roman"/>
          <w:sz w:val="20"/>
          <w:szCs w:val="20"/>
        </w:rPr>
        <w:t xml:space="preserve">, </w:t>
      </w:r>
      <w:r>
        <w:rPr>
          <w:rFonts w:cs="Times New Roman"/>
          <w:i/>
          <w:iCs/>
          <w:sz w:val="20"/>
          <w:szCs w:val="20"/>
        </w:rPr>
        <w:t>Earthquakes Popular Edition</w:t>
      </w:r>
      <w:r>
        <w:rPr>
          <w:rFonts w:cs="Times New Roman"/>
          <w:sz w:val="20"/>
          <w:szCs w:val="20"/>
        </w:rPr>
        <w:t>. 2012.</w:t>
      </w:r>
    </w:p>
    <w:p w14:paraId="1CDFD95A" w14:textId="77777777"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[8]</w:t>
      </w:r>
      <w:r>
        <w:rPr>
          <w:rFonts w:cs="Times New Roman"/>
          <w:sz w:val="20"/>
          <w:szCs w:val="20"/>
        </w:rPr>
        <w:tab/>
        <w:t>R. Order, “Peak Ground Acceleration (</w:t>
      </w:r>
      <w:proofErr w:type="spellStart"/>
      <w:r>
        <w:rPr>
          <w:rFonts w:cs="Times New Roman"/>
          <w:sz w:val="20"/>
          <w:szCs w:val="20"/>
        </w:rPr>
        <w:t>Pga</w:t>
      </w:r>
      <w:proofErr w:type="spellEnd"/>
      <w:r>
        <w:rPr>
          <w:rFonts w:cs="Times New Roman"/>
          <w:sz w:val="20"/>
          <w:szCs w:val="20"/>
        </w:rPr>
        <w:t xml:space="preserve">) Analysis Due to Earthquake East Java 08 July 2013 In the </w:t>
      </w:r>
      <w:r>
        <w:rPr>
          <w:rFonts w:cs="Times New Roman"/>
          <w:sz w:val="20"/>
          <w:szCs w:val="20"/>
        </w:rPr>
        <w:lastRenderedPageBreak/>
        <w:t xml:space="preserve">Indian Ocean 9,000LS – 113,010BT,” </w:t>
      </w:r>
      <w:proofErr w:type="spellStart"/>
      <w:r>
        <w:rPr>
          <w:rFonts w:cs="Times New Roman"/>
          <w:i/>
          <w:iCs/>
          <w:sz w:val="20"/>
          <w:szCs w:val="20"/>
        </w:rPr>
        <w:t>Indones</w:t>
      </w:r>
      <w:proofErr w:type="spellEnd"/>
      <w:r>
        <w:rPr>
          <w:rFonts w:cs="Times New Roman"/>
          <w:i/>
          <w:iCs/>
          <w:sz w:val="20"/>
          <w:szCs w:val="20"/>
        </w:rPr>
        <w:t xml:space="preserve">. J. Phys. </w:t>
      </w:r>
      <w:proofErr w:type="spellStart"/>
      <w:r>
        <w:rPr>
          <w:rFonts w:cs="Times New Roman"/>
          <w:i/>
          <w:iCs/>
          <w:sz w:val="20"/>
          <w:szCs w:val="20"/>
        </w:rPr>
        <w:t>Inno</w:t>
      </w:r>
      <w:r>
        <w:rPr>
          <w:rFonts w:cs="Times New Roman"/>
          <w:i/>
          <w:iCs/>
          <w:sz w:val="20"/>
          <w:szCs w:val="20"/>
        </w:rPr>
        <w:t>v</w:t>
      </w:r>
      <w:proofErr w:type="spellEnd"/>
      <w:r>
        <w:rPr>
          <w:rFonts w:cs="Times New Roman"/>
          <w:i/>
          <w:iCs/>
          <w:sz w:val="20"/>
          <w:szCs w:val="20"/>
        </w:rPr>
        <w:t>.</w:t>
      </w:r>
      <w:r>
        <w:rPr>
          <w:rFonts w:cs="Times New Roman"/>
          <w:sz w:val="20"/>
          <w:szCs w:val="20"/>
        </w:rPr>
        <w:t>, vol. 2, 2013.</w:t>
      </w:r>
    </w:p>
    <w:p w14:paraId="52A2173A" w14:textId="58626637"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[9]</w:t>
      </w:r>
      <w:r>
        <w:rPr>
          <w:rFonts w:cs="Times New Roman"/>
          <w:sz w:val="20"/>
          <w:szCs w:val="20"/>
        </w:rPr>
        <w:tab/>
        <w:t xml:space="preserve">W. Baker, </w:t>
      </w:r>
      <w:r>
        <w:rPr>
          <w:rFonts w:cs="Times New Roman"/>
          <w:i/>
          <w:iCs/>
          <w:sz w:val="20"/>
          <w:szCs w:val="20"/>
        </w:rPr>
        <w:t>An Introduction to Probabilistic Seismic Hazard Analysis, version 1.3</w:t>
      </w:r>
      <w:r>
        <w:rPr>
          <w:rFonts w:cs="Times New Roman"/>
          <w:sz w:val="20"/>
          <w:szCs w:val="20"/>
        </w:rPr>
        <w:t>. 2008.</w:t>
      </w:r>
      <w:r w:rsidR="009D72BE">
        <w:rPr>
          <w:rFonts w:cs="Times New Roman"/>
          <w:sz w:val="20"/>
          <w:szCs w:val="20"/>
        </w:rPr>
        <w:t>s</w:t>
      </w:r>
    </w:p>
    <w:p w14:paraId="04C9A400" w14:textId="77777777" w:rsidR="00C24579" w:rsidRDefault="00C24579" w:rsidP="005966A6">
      <w:pPr>
        <w:widowControl w:val="0"/>
        <w:autoSpaceDE w:val="0"/>
        <w:autoSpaceDN w:val="0"/>
        <w:adjustRightInd w:val="0"/>
        <w:spacing w:after="0" w:line="240" w:lineRule="auto"/>
        <w:ind w:left="640" w:hanging="640"/>
        <w:jc w:val="both"/>
        <w:rPr>
          <w:bCs/>
          <w:sz w:val="28"/>
          <w:szCs w:val="28"/>
          <w:lang w:val="id-ID" w:eastAsia="zh-CN"/>
        </w:rPr>
      </w:pPr>
      <w:r>
        <w:rPr>
          <w:rFonts w:cs="Times New Roman"/>
          <w:sz w:val="20"/>
          <w:szCs w:val="20"/>
        </w:rPr>
        <w:t>[10]</w:t>
      </w:r>
      <w:r>
        <w:rPr>
          <w:rFonts w:cs="Times New Roman"/>
          <w:sz w:val="20"/>
          <w:szCs w:val="20"/>
        </w:rPr>
        <w:tab/>
      </w:r>
      <w:proofErr w:type="spellStart"/>
      <w:r w:rsidRPr="005966A6">
        <w:rPr>
          <w:sz w:val="20"/>
          <w:szCs w:val="20"/>
        </w:rPr>
        <w:t>Wiemer</w:t>
      </w:r>
      <w:proofErr w:type="spellEnd"/>
      <w:r w:rsidRPr="005966A6">
        <w:rPr>
          <w:sz w:val="20"/>
          <w:szCs w:val="20"/>
        </w:rPr>
        <w:t>, S. and Wyss, M. (1994), “Seismic quiescence before the Landers (M= 7.5) and Big Bear (M= 6.5) 1992 earthquakes”, Bulletin of the Seismological Society of America, The Seismological Society of America, Vol. 84 No. 3, pp. 900–916.</w:t>
      </w:r>
    </w:p>
    <w:p w14:paraId="2F61FB7D" w14:textId="5DCB83ED"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[1</w:t>
      </w:r>
      <w:r w:rsidR="00C24579">
        <w:rPr>
          <w:rFonts w:cs="Times New Roman"/>
          <w:sz w:val="20"/>
          <w:szCs w:val="20"/>
        </w:rPr>
        <w:t>1</w:t>
      </w:r>
      <w:r>
        <w:rPr>
          <w:rFonts w:cs="Times New Roman"/>
          <w:sz w:val="20"/>
          <w:szCs w:val="20"/>
        </w:rPr>
        <w:t>]</w:t>
      </w:r>
      <w:r>
        <w:rPr>
          <w:rFonts w:cs="Times New Roman"/>
          <w:sz w:val="20"/>
          <w:szCs w:val="20"/>
        </w:rPr>
        <w:tab/>
        <w:t xml:space="preserve">C. Cornell, </w:t>
      </w:r>
      <w:r>
        <w:rPr>
          <w:rFonts w:cs="Times New Roman"/>
          <w:i/>
          <w:iCs/>
          <w:sz w:val="20"/>
          <w:szCs w:val="20"/>
        </w:rPr>
        <w:t xml:space="preserve">Engineering seismic risk analysis, </w:t>
      </w:r>
      <w:proofErr w:type="spellStart"/>
      <w:r>
        <w:rPr>
          <w:rFonts w:cs="Times New Roman"/>
          <w:i/>
          <w:iCs/>
          <w:sz w:val="20"/>
          <w:szCs w:val="20"/>
        </w:rPr>
        <w:t>Bull.Seism</w:t>
      </w:r>
      <w:proofErr w:type="spellEnd"/>
      <w:r>
        <w:rPr>
          <w:rFonts w:cs="Times New Roman"/>
          <w:i/>
          <w:iCs/>
          <w:sz w:val="20"/>
          <w:szCs w:val="20"/>
        </w:rPr>
        <w:t>. soc. Am</w:t>
      </w:r>
      <w:r>
        <w:rPr>
          <w:rFonts w:cs="Times New Roman"/>
          <w:sz w:val="20"/>
          <w:szCs w:val="20"/>
        </w:rPr>
        <w:t>. 1968.</w:t>
      </w:r>
    </w:p>
    <w:p w14:paraId="5CF9C812" w14:textId="4BDD83AD"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[1</w:t>
      </w:r>
      <w:r w:rsidR="00C24579">
        <w:rPr>
          <w:rFonts w:cs="Times New Roman"/>
          <w:sz w:val="20"/>
          <w:szCs w:val="20"/>
        </w:rPr>
        <w:t>2</w:t>
      </w:r>
      <w:r>
        <w:rPr>
          <w:rFonts w:cs="Times New Roman"/>
          <w:sz w:val="20"/>
          <w:szCs w:val="20"/>
        </w:rPr>
        <w:t>]</w:t>
      </w:r>
      <w:r>
        <w:rPr>
          <w:rFonts w:cs="Times New Roman"/>
          <w:sz w:val="20"/>
          <w:szCs w:val="20"/>
        </w:rPr>
        <w:tab/>
        <w:t xml:space="preserve">J. L. Tribe, </w:t>
      </w:r>
      <w:r>
        <w:rPr>
          <w:rFonts w:cs="Times New Roman"/>
          <w:i/>
          <w:iCs/>
          <w:sz w:val="20"/>
          <w:szCs w:val="20"/>
        </w:rPr>
        <w:t>Earthquake Risk Probabilistic Analysis (Probabilis</w:t>
      </w:r>
      <w:r>
        <w:rPr>
          <w:rFonts w:cs="Times New Roman"/>
          <w:i/>
          <w:iCs/>
          <w:sz w:val="20"/>
          <w:szCs w:val="20"/>
        </w:rPr>
        <w:t>tic Seismic Hazard Analysis) in Ende City Based on Joyner-</w:t>
      </w:r>
      <w:proofErr w:type="spellStart"/>
      <w:r>
        <w:rPr>
          <w:rFonts w:cs="Times New Roman"/>
          <w:i/>
          <w:iCs/>
          <w:sz w:val="20"/>
          <w:szCs w:val="20"/>
        </w:rPr>
        <w:t>Boore</w:t>
      </w:r>
      <w:proofErr w:type="spellEnd"/>
      <w:r>
        <w:rPr>
          <w:rFonts w:cs="Times New Roman"/>
          <w:i/>
          <w:iCs/>
          <w:sz w:val="20"/>
          <w:szCs w:val="20"/>
        </w:rPr>
        <w:t xml:space="preserve"> Dan Youngs Attenuation Function.</w:t>
      </w:r>
      <w:r>
        <w:rPr>
          <w:rFonts w:cs="Times New Roman"/>
          <w:sz w:val="20"/>
          <w:szCs w:val="20"/>
        </w:rPr>
        <w:t xml:space="preserve"> 2014.</w:t>
      </w:r>
    </w:p>
    <w:p w14:paraId="757D3653" w14:textId="28D491D6" w:rsidR="00CA20B8" w:rsidRDefault="003225D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[1</w:t>
      </w:r>
      <w:r w:rsidR="00C24579">
        <w:rPr>
          <w:rFonts w:cs="Times New Roman"/>
          <w:sz w:val="20"/>
          <w:szCs w:val="20"/>
        </w:rPr>
        <w:t>3</w:t>
      </w:r>
      <w:r>
        <w:rPr>
          <w:rFonts w:cs="Times New Roman"/>
          <w:sz w:val="20"/>
          <w:szCs w:val="20"/>
        </w:rPr>
        <w:t>]</w:t>
      </w:r>
      <w:r>
        <w:rPr>
          <w:rFonts w:cs="Times New Roman"/>
          <w:sz w:val="20"/>
          <w:szCs w:val="20"/>
        </w:rPr>
        <w:tab/>
        <w:t xml:space="preserve">P. D. B. </w:t>
      </w:r>
      <w:proofErr w:type="spellStart"/>
      <w:r>
        <w:rPr>
          <w:rFonts w:cs="Times New Roman"/>
          <w:sz w:val="20"/>
          <w:szCs w:val="20"/>
        </w:rPr>
        <w:t>Purbadini</w:t>
      </w:r>
      <w:proofErr w:type="spellEnd"/>
      <w:r>
        <w:rPr>
          <w:rFonts w:cs="Times New Roman"/>
          <w:sz w:val="20"/>
          <w:szCs w:val="20"/>
        </w:rPr>
        <w:t xml:space="preserve">, “Analysis of Seismic Hazards in the Malang Region Using a Probabilistic Approach. ITS,” </w:t>
      </w:r>
      <w:r>
        <w:rPr>
          <w:rFonts w:cs="Times New Roman"/>
          <w:i/>
          <w:iCs/>
          <w:sz w:val="20"/>
          <w:szCs w:val="20"/>
        </w:rPr>
        <w:t>J. Sci. Arts</w:t>
      </w:r>
      <w:r>
        <w:rPr>
          <w:rFonts w:cs="Times New Roman"/>
          <w:sz w:val="20"/>
          <w:szCs w:val="20"/>
        </w:rPr>
        <w:t>, vol. 6, 2017.</w:t>
      </w:r>
    </w:p>
    <w:p w14:paraId="7DEB858C" w14:textId="0A7E8C46" w:rsidR="00C24579" w:rsidRDefault="00C24579">
      <w:pPr>
        <w:widowControl w:val="0"/>
        <w:autoSpaceDE w:val="0"/>
        <w:autoSpaceDN w:val="0"/>
        <w:adjustRightInd w:val="0"/>
        <w:spacing w:after="0" w:line="240" w:lineRule="auto"/>
        <w:ind w:left="640" w:hanging="640"/>
        <w:jc w:val="both"/>
        <w:rPr>
          <w:rFonts w:cs="Times New Roman"/>
          <w:sz w:val="20"/>
          <w:szCs w:val="20"/>
        </w:rPr>
      </w:pPr>
      <w:r>
        <w:rPr>
          <w:rFonts w:cs="Times New Roman"/>
          <w:sz w:val="20"/>
          <w:szCs w:val="20"/>
        </w:rPr>
        <w:t>[14]</w:t>
      </w:r>
      <w:r w:rsidRPr="00C24579">
        <w:rPr>
          <w:rFonts w:eastAsia="SimSun"/>
          <w:color w:val="222222"/>
          <w:szCs w:val="24"/>
          <w:shd w:val="clear" w:color="auto" w:fill="FFFFFF"/>
        </w:rPr>
        <w:t xml:space="preserve"> </w:t>
      </w:r>
      <w:r>
        <w:rPr>
          <w:rFonts w:eastAsia="SimSun"/>
          <w:color w:val="222222"/>
          <w:szCs w:val="24"/>
          <w:shd w:val="clear" w:color="auto" w:fill="FFFFFF"/>
        </w:rPr>
        <w:tab/>
      </w:r>
      <w:proofErr w:type="spellStart"/>
      <w:r w:rsidR="009D72BE" w:rsidRPr="009D72BE">
        <w:rPr>
          <w:rFonts w:eastAsia="SimSun"/>
          <w:color w:val="222222"/>
          <w:szCs w:val="24"/>
          <w:shd w:val="clear" w:color="auto" w:fill="FFFFFF"/>
        </w:rPr>
        <w:t>Setyanta</w:t>
      </w:r>
      <w:proofErr w:type="spellEnd"/>
      <w:r w:rsidR="009D72BE" w:rsidRPr="009D72BE">
        <w:rPr>
          <w:rFonts w:eastAsia="SimSun"/>
          <w:color w:val="222222"/>
          <w:szCs w:val="24"/>
          <w:shd w:val="clear" w:color="auto" w:fill="FFFFFF"/>
        </w:rPr>
        <w:t xml:space="preserve">, B. (2015). The crustal model of the fore-arc region on </w:t>
      </w:r>
      <w:proofErr w:type="spellStart"/>
      <w:r w:rsidR="009D72BE" w:rsidRPr="009D72BE">
        <w:rPr>
          <w:rFonts w:eastAsia="SimSun"/>
          <w:color w:val="222222"/>
          <w:szCs w:val="24"/>
          <w:shd w:val="clear" w:color="auto" w:fill="FFFFFF"/>
        </w:rPr>
        <w:t>Siberut</w:t>
      </w:r>
      <w:proofErr w:type="spellEnd"/>
      <w:r w:rsidR="009D72BE" w:rsidRPr="009D72BE">
        <w:rPr>
          <w:rFonts w:eastAsia="SimSun"/>
          <w:color w:val="222222"/>
          <w:szCs w:val="24"/>
          <w:shd w:val="clear" w:color="auto" w:fill="FFFFFF"/>
        </w:rPr>
        <w:t xml:space="preserve"> Island and the surrounding waters based on gravity anomaly analysis. Journal of Geology and Mineral Resources, 16(2), 55-65.</w:t>
      </w:r>
    </w:p>
    <w:p w14:paraId="5F99FB8C" w14:textId="77777777" w:rsidR="00CA20B8" w:rsidRDefault="003225D9">
      <w:pPr>
        <w:pStyle w:val="IJASEITReferenceItem"/>
        <w:numPr>
          <w:ilvl w:val="0"/>
          <w:numId w:val="0"/>
        </w:numPr>
        <w:spacing w:after="0" w:line="240" w:lineRule="auto"/>
        <w:ind w:left="432" w:hanging="432"/>
        <w:rPr>
          <w:rFonts w:cs="Times New Roman"/>
          <w:sz w:val="20"/>
          <w:szCs w:val="20"/>
        </w:rPr>
      </w:pPr>
      <w:r>
        <w:rPr>
          <w:sz w:val="20"/>
          <w:szCs w:val="20"/>
          <w:lang w:val="id-ID"/>
        </w:rPr>
        <w:fldChar w:fldCharType="end"/>
      </w:r>
    </w:p>
    <w:p w14:paraId="31540B31" w14:textId="77777777" w:rsidR="00CA20B8" w:rsidRDefault="00CA20B8">
      <w:pPr>
        <w:spacing w:after="0" w:line="240" w:lineRule="auto"/>
        <w:rPr>
          <w:rFonts w:cs="Times New Roman"/>
          <w:sz w:val="20"/>
          <w:szCs w:val="20"/>
        </w:rPr>
      </w:pPr>
    </w:p>
    <w:p w14:paraId="003E2EC5" w14:textId="77777777" w:rsidR="00CA20B8" w:rsidRDefault="00CA20B8">
      <w:pPr>
        <w:spacing w:after="0" w:line="240" w:lineRule="auto"/>
        <w:rPr>
          <w:rFonts w:cs="Times New Roman"/>
          <w:sz w:val="20"/>
          <w:szCs w:val="20"/>
        </w:rPr>
      </w:pPr>
    </w:p>
    <w:p w14:paraId="6C94F87B" w14:textId="77777777" w:rsidR="00CA20B8" w:rsidRDefault="00CA20B8">
      <w:pPr>
        <w:spacing w:after="0" w:line="240" w:lineRule="auto"/>
        <w:rPr>
          <w:rFonts w:cs="Times New Roman"/>
          <w:sz w:val="20"/>
          <w:szCs w:val="20"/>
        </w:rPr>
      </w:pPr>
    </w:p>
    <w:p w14:paraId="2A0D7A60" w14:textId="77777777" w:rsidR="00CA20B8" w:rsidRDefault="00CA20B8">
      <w:pPr>
        <w:spacing w:after="0" w:line="240" w:lineRule="auto"/>
        <w:rPr>
          <w:rFonts w:cs="Times New Roman"/>
          <w:sz w:val="20"/>
          <w:szCs w:val="20"/>
        </w:rPr>
      </w:pPr>
    </w:p>
    <w:p w14:paraId="621C881E" w14:textId="77777777" w:rsidR="00CA20B8" w:rsidRDefault="00CA20B8">
      <w:pPr>
        <w:spacing w:after="0" w:line="240" w:lineRule="auto"/>
        <w:rPr>
          <w:rFonts w:cs="Times New Roman"/>
          <w:sz w:val="20"/>
          <w:szCs w:val="20"/>
        </w:rPr>
      </w:pPr>
    </w:p>
    <w:p w14:paraId="7B9EDF88" w14:textId="77777777" w:rsidR="00CA20B8" w:rsidRDefault="00CA20B8">
      <w:pPr>
        <w:spacing w:after="0" w:line="240" w:lineRule="auto"/>
        <w:rPr>
          <w:rFonts w:cs="Times New Roman"/>
          <w:sz w:val="20"/>
          <w:szCs w:val="20"/>
        </w:rPr>
      </w:pPr>
    </w:p>
    <w:p w14:paraId="18F24F2F" w14:textId="77777777" w:rsidR="00CA20B8" w:rsidRDefault="00CA20B8">
      <w:pPr>
        <w:spacing w:after="0" w:line="240" w:lineRule="auto"/>
        <w:rPr>
          <w:rFonts w:cs="Times New Roman"/>
          <w:sz w:val="20"/>
          <w:szCs w:val="20"/>
        </w:rPr>
      </w:pPr>
    </w:p>
    <w:p w14:paraId="22D46B68" w14:textId="77777777" w:rsidR="00CA20B8" w:rsidRDefault="00CA20B8">
      <w:pPr>
        <w:spacing w:after="0" w:line="240" w:lineRule="auto"/>
        <w:rPr>
          <w:rFonts w:cs="Times New Roman"/>
          <w:sz w:val="20"/>
          <w:szCs w:val="20"/>
        </w:rPr>
      </w:pPr>
    </w:p>
    <w:p w14:paraId="4A294A80" w14:textId="77777777" w:rsidR="00CA20B8" w:rsidRDefault="00CA20B8">
      <w:pPr>
        <w:spacing w:after="0" w:line="240" w:lineRule="auto"/>
        <w:rPr>
          <w:rFonts w:cs="Times New Roman"/>
          <w:sz w:val="20"/>
          <w:szCs w:val="20"/>
        </w:rPr>
      </w:pPr>
    </w:p>
    <w:p w14:paraId="2D1BE28C" w14:textId="77777777" w:rsidR="00CA20B8" w:rsidRDefault="00CA20B8">
      <w:pPr>
        <w:spacing w:after="0" w:line="240" w:lineRule="auto"/>
        <w:rPr>
          <w:rFonts w:cs="Times New Roman"/>
          <w:sz w:val="20"/>
          <w:szCs w:val="20"/>
        </w:rPr>
      </w:pPr>
    </w:p>
    <w:p w14:paraId="21CEEABB" w14:textId="77777777" w:rsidR="00CA20B8" w:rsidRDefault="00CA20B8">
      <w:pPr>
        <w:spacing w:after="0" w:line="240" w:lineRule="auto"/>
        <w:rPr>
          <w:rFonts w:cs="Times New Roman"/>
          <w:sz w:val="20"/>
          <w:szCs w:val="20"/>
        </w:rPr>
      </w:pPr>
    </w:p>
    <w:p w14:paraId="1A0FC18E" w14:textId="77777777" w:rsidR="00CA20B8" w:rsidRDefault="00CA20B8">
      <w:pPr>
        <w:spacing w:after="0" w:line="240" w:lineRule="auto"/>
        <w:rPr>
          <w:rFonts w:cs="Times New Roman"/>
          <w:sz w:val="20"/>
          <w:szCs w:val="20"/>
        </w:rPr>
      </w:pPr>
    </w:p>
    <w:p w14:paraId="69813236" w14:textId="77777777" w:rsidR="00CA20B8" w:rsidRDefault="00CA20B8">
      <w:pPr>
        <w:spacing w:after="0" w:line="240" w:lineRule="auto"/>
        <w:rPr>
          <w:rFonts w:cs="Times New Roman"/>
          <w:sz w:val="20"/>
          <w:szCs w:val="20"/>
        </w:rPr>
      </w:pPr>
    </w:p>
    <w:p w14:paraId="1C70225A" w14:textId="77777777" w:rsidR="00CA20B8" w:rsidRDefault="00CA20B8">
      <w:pPr>
        <w:spacing w:after="0" w:line="240" w:lineRule="auto"/>
        <w:rPr>
          <w:rFonts w:cs="Times New Roman"/>
          <w:sz w:val="20"/>
          <w:szCs w:val="20"/>
        </w:rPr>
      </w:pPr>
    </w:p>
    <w:p w14:paraId="14E29D48" w14:textId="77777777" w:rsidR="00CA20B8" w:rsidRDefault="00CA20B8">
      <w:pPr>
        <w:spacing w:after="0" w:line="240" w:lineRule="auto"/>
        <w:rPr>
          <w:rFonts w:cs="Times New Roman"/>
          <w:sz w:val="20"/>
          <w:szCs w:val="20"/>
        </w:rPr>
      </w:pPr>
    </w:p>
    <w:p w14:paraId="54B88AAD" w14:textId="77777777" w:rsidR="00CA20B8" w:rsidRDefault="00CA20B8">
      <w:pPr>
        <w:spacing w:after="0" w:line="240" w:lineRule="auto"/>
        <w:rPr>
          <w:rFonts w:cs="Times New Roman"/>
          <w:sz w:val="20"/>
          <w:szCs w:val="20"/>
        </w:rPr>
      </w:pPr>
    </w:p>
    <w:p w14:paraId="46ACFF8A" w14:textId="77777777" w:rsidR="00CA20B8" w:rsidRDefault="00CA20B8">
      <w:pPr>
        <w:spacing w:after="0" w:line="240" w:lineRule="auto"/>
        <w:rPr>
          <w:rFonts w:cs="Times New Roman"/>
          <w:sz w:val="20"/>
          <w:szCs w:val="20"/>
        </w:rPr>
      </w:pPr>
    </w:p>
    <w:p w14:paraId="75D43229" w14:textId="77777777" w:rsidR="00CA20B8" w:rsidRDefault="00CA20B8">
      <w:pPr>
        <w:spacing w:after="0" w:line="240" w:lineRule="auto"/>
        <w:rPr>
          <w:rFonts w:cs="Times New Roman"/>
          <w:sz w:val="20"/>
          <w:szCs w:val="20"/>
        </w:rPr>
      </w:pPr>
    </w:p>
    <w:p w14:paraId="689557B6" w14:textId="77777777" w:rsidR="00CA20B8" w:rsidRDefault="00CA20B8">
      <w:pPr>
        <w:spacing w:after="0" w:line="240" w:lineRule="auto"/>
        <w:rPr>
          <w:rFonts w:cs="Times New Roman"/>
          <w:sz w:val="20"/>
          <w:szCs w:val="20"/>
        </w:rPr>
      </w:pPr>
    </w:p>
    <w:p w14:paraId="4452D508" w14:textId="77777777" w:rsidR="00CA20B8" w:rsidRDefault="00CA20B8">
      <w:pPr>
        <w:spacing w:after="0" w:line="240" w:lineRule="auto"/>
        <w:rPr>
          <w:rFonts w:cs="Times New Roman"/>
          <w:sz w:val="20"/>
          <w:szCs w:val="20"/>
        </w:rPr>
      </w:pPr>
    </w:p>
    <w:p w14:paraId="38C36DAC" w14:textId="77777777" w:rsidR="00CA20B8" w:rsidRDefault="00CA20B8">
      <w:pPr>
        <w:spacing w:after="0" w:line="240" w:lineRule="auto"/>
        <w:rPr>
          <w:rFonts w:cs="Times New Roman"/>
          <w:sz w:val="20"/>
          <w:szCs w:val="20"/>
        </w:rPr>
      </w:pPr>
    </w:p>
    <w:p w14:paraId="3C532A30" w14:textId="77777777" w:rsidR="00CA20B8" w:rsidRDefault="00CA20B8">
      <w:pPr>
        <w:spacing w:after="0" w:line="240" w:lineRule="auto"/>
        <w:rPr>
          <w:rFonts w:cs="Times New Roman"/>
          <w:sz w:val="20"/>
          <w:szCs w:val="20"/>
        </w:rPr>
      </w:pPr>
    </w:p>
    <w:p w14:paraId="5D8650F2" w14:textId="77777777" w:rsidR="00CA20B8" w:rsidRDefault="00CA20B8">
      <w:pPr>
        <w:spacing w:after="0" w:line="240" w:lineRule="auto"/>
        <w:rPr>
          <w:rFonts w:cs="Times New Roman"/>
          <w:sz w:val="20"/>
          <w:szCs w:val="20"/>
        </w:rPr>
      </w:pPr>
    </w:p>
    <w:p w14:paraId="04DC4822" w14:textId="77777777" w:rsidR="00CA20B8" w:rsidRDefault="00CA20B8">
      <w:pPr>
        <w:spacing w:after="0" w:line="240" w:lineRule="auto"/>
        <w:rPr>
          <w:rFonts w:cs="Times New Roman"/>
          <w:sz w:val="20"/>
          <w:szCs w:val="20"/>
        </w:rPr>
      </w:pPr>
    </w:p>
    <w:p w14:paraId="11C7E944" w14:textId="77777777" w:rsidR="00CA20B8" w:rsidRDefault="00CA20B8">
      <w:pPr>
        <w:spacing w:after="0" w:line="240" w:lineRule="auto"/>
        <w:rPr>
          <w:rFonts w:cs="Times New Roman"/>
          <w:sz w:val="20"/>
          <w:szCs w:val="20"/>
        </w:rPr>
      </w:pPr>
    </w:p>
    <w:p w14:paraId="3D4C8FEC" w14:textId="77777777" w:rsidR="00CA20B8" w:rsidRDefault="00CA20B8">
      <w:pPr>
        <w:spacing w:after="0" w:line="240" w:lineRule="auto"/>
        <w:rPr>
          <w:rFonts w:cs="Times New Roman"/>
          <w:sz w:val="20"/>
          <w:szCs w:val="20"/>
        </w:rPr>
      </w:pPr>
    </w:p>
    <w:p w14:paraId="3D3A2FBE" w14:textId="77777777" w:rsidR="00CA20B8" w:rsidRDefault="00CA20B8">
      <w:pPr>
        <w:spacing w:after="0" w:line="240" w:lineRule="auto"/>
        <w:rPr>
          <w:rFonts w:cs="Times New Roman"/>
          <w:sz w:val="20"/>
          <w:szCs w:val="20"/>
        </w:rPr>
      </w:pPr>
    </w:p>
    <w:sectPr w:rsidR="00CA20B8">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8504" w14:textId="77777777" w:rsidR="003225D9" w:rsidRDefault="003225D9">
      <w:pPr>
        <w:spacing w:line="240" w:lineRule="auto"/>
      </w:pPr>
      <w:r>
        <w:separator/>
      </w:r>
    </w:p>
  </w:endnote>
  <w:endnote w:type="continuationSeparator" w:id="0">
    <w:p w14:paraId="39ACFB4E" w14:textId="77777777" w:rsidR="003225D9" w:rsidRDefault="00322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ngsuh">
    <w:altName w:val="Segoe Print"/>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3DF3" w14:textId="77777777" w:rsidR="00CA20B8" w:rsidRDefault="00CA20B8">
    <w:pPr>
      <w:pStyle w:val="Footer"/>
      <w:tabs>
        <w:tab w:val="right" w:pos="9072"/>
      </w:tabs>
    </w:pPr>
  </w:p>
  <w:p w14:paraId="7B93530A" w14:textId="77777777" w:rsidR="00CA20B8" w:rsidRDefault="003225D9">
    <w:pPr>
      <w:pStyle w:val="Footer"/>
      <w:tabs>
        <w:tab w:val="right" w:pos="9072"/>
      </w:tabs>
    </w:pPr>
    <w:r>
      <w:tab/>
    </w:r>
    <w:r>
      <w:tab/>
    </w:r>
    <w:r>
      <w:rPr>
        <w:i/>
        <w:iCs/>
        <w:sz w:val="20"/>
        <w:szCs w:val="18"/>
      </w:rPr>
      <w:t>Pillar of Physics</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6DA1" w14:textId="77777777" w:rsidR="00CA20B8" w:rsidRDefault="00CA20B8">
    <w:pPr>
      <w:pStyle w:val="Footer"/>
      <w:tabs>
        <w:tab w:val="right" w:pos="9072"/>
      </w:tabs>
    </w:pPr>
  </w:p>
  <w:p w14:paraId="4950865D" w14:textId="77777777" w:rsidR="00CA20B8" w:rsidRDefault="003225D9">
    <w:pPr>
      <w:pStyle w:val="Footer"/>
      <w:tabs>
        <w:tab w:val="right" w:pos="9072"/>
      </w:tabs>
    </w:pPr>
    <w:r>
      <w:rPr>
        <w:sz w:val="20"/>
        <w:szCs w:val="18"/>
      </w:rPr>
      <w:t xml:space="preserve"> </w:t>
    </w:r>
    <w:r>
      <w:tab/>
    </w:r>
    <w:r>
      <w:tab/>
    </w:r>
    <w:r>
      <w:rPr>
        <w:i/>
        <w:iCs/>
        <w:sz w:val="20"/>
        <w:szCs w:val="18"/>
      </w:rPr>
      <w:t>Pillar of Physics</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D783" w14:textId="77777777" w:rsidR="00CA20B8" w:rsidRDefault="00CA20B8">
    <w:pPr>
      <w:pStyle w:val="Footer"/>
      <w:tabs>
        <w:tab w:val="right" w:pos="9072"/>
      </w:tabs>
    </w:pPr>
  </w:p>
  <w:p w14:paraId="7325B2D3" w14:textId="77777777" w:rsidR="00CA20B8" w:rsidRDefault="003225D9">
    <w:pPr>
      <w:pStyle w:val="Footer"/>
      <w:tabs>
        <w:tab w:val="right" w:pos="9072"/>
      </w:tabs>
    </w:pPr>
    <w:r>
      <w:rPr>
        <w:color w:val="000000"/>
        <w:sz w:val="20"/>
      </w:rPr>
      <w:t>Submitted: .xxx Accepted: xxx Published: .xxx</w:t>
    </w:r>
    <w:r>
      <w:rPr>
        <w:sz w:val="20"/>
        <w:szCs w:val="18"/>
      </w:rPr>
      <w:t xml:space="preserve"> </w:t>
    </w:r>
    <w:r>
      <w:tab/>
    </w:r>
    <w:r>
      <w:tab/>
    </w:r>
    <w:r>
      <w:rPr>
        <w:i/>
        <w:iCs/>
        <w:sz w:val="20"/>
        <w:szCs w:val="18"/>
      </w:rPr>
      <w:t>Pillar of Physics</w:t>
    </w:r>
    <w:r>
      <w:rPr>
        <w:b/>
        <w:bCs/>
        <w:sz w:val="20"/>
        <w:szCs w:val="18"/>
      </w:rPr>
      <w:t>,</w:t>
    </w:r>
    <w:r>
      <w:rPr>
        <w:sz w:val="20"/>
        <w:szCs w:val="18"/>
      </w:rPr>
      <w:t xml:space="preserve"> page.</w:t>
    </w:r>
    <w:r>
      <w:t xml:space="preserve"> |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5648B" w14:textId="77777777" w:rsidR="003225D9" w:rsidRDefault="003225D9">
      <w:pPr>
        <w:spacing w:after="0"/>
      </w:pPr>
      <w:r>
        <w:separator/>
      </w:r>
    </w:p>
  </w:footnote>
  <w:footnote w:type="continuationSeparator" w:id="0">
    <w:p w14:paraId="34B3A4C5" w14:textId="77777777" w:rsidR="003225D9" w:rsidRDefault="003225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DEB5" w14:textId="77777777" w:rsidR="00CA20B8" w:rsidRDefault="003225D9">
    <w:pPr>
      <w:pStyle w:val="Header"/>
      <w:rPr>
        <w:sz w:val="20"/>
        <w:szCs w:val="18"/>
      </w:rPr>
    </w:pPr>
    <w:r>
      <w:rPr>
        <w:sz w:val="20"/>
        <w:szCs w:val="18"/>
      </w:rPr>
      <w:t>First Author(last name),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77C5" w14:textId="77777777" w:rsidR="00CA20B8" w:rsidRDefault="003225D9">
    <w:pPr>
      <w:pStyle w:val="Header"/>
      <w:rPr>
        <w:sz w:val="20"/>
        <w:szCs w:val="18"/>
      </w:rPr>
    </w:pPr>
    <w:r>
      <w:rPr>
        <w:sz w:val="20"/>
        <w:szCs w:val="18"/>
      </w:rPr>
      <w:t>First Author(last name), et al</w:t>
    </w:r>
  </w:p>
  <w:p w14:paraId="686A8FD7" w14:textId="77777777" w:rsidR="00CA20B8" w:rsidRDefault="00CA2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EBD" w14:textId="77777777" w:rsidR="00CA20B8" w:rsidRDefault="003225D9">
    <w:pPr>
      <w:pStyle w:val="Header"/>
      <w:rPr>
        <w:rFonts w:ascii="SimSun" w:hAnsi="SimSun"/>
        <w:sz w:val="22"/>
        <w:szCs w:val="20"/>
      </w:rPr>
    </w:pPr>
    <w:r>
      <w:rPr>
        <w:noProof/>
      </w:rPr>
      <mc:AlternateContent>
        <mc:Choice Requires="wps">
          <w:drawing>
            <wp:anchor distT="0" distB="0" distL="0" distR="0" simplePos="0" relativeHeight="251659264" behindDoc="0" locked="0" layoutInCell="1" allowOverlap="1" wp14:anchorId="7A16B877" wp14:editId="54AFA33E">
              <wp:simplePos x="0" y="0"/>
              <wp:positionH relativeFrom="column">
                <wp:posOffset>1237615</wp:posOffset>
              </wp:positionH>
              <wp:positionV relativeFrom="paragraph">
                <wp:posOffset>819150</wp:posOffset>
              </wp:positionV>
              <wp:extent cx="3359150" cy="473710"/>
              <wp:effectExtent l="0" t="0" r="0" b="0"/>
              <wp:wrapNone/>
              <wp:docPr id="4097" name="Rectangle 2"/>
              <wp:cNvGraphicFramePr/>
              <a:graphic xmlns:a="http://schemas.openxmlformats.org/drawingml/2006/main">
                <a:graphicData uri="http://schemas.microsoft.com/office/word/2010/wordprocessingShape">
                  <wps:wsp>
                    <wps:cNvSpPr/>
                    <wps:spPr>
                      <a:xfrm>
                        <a:off x="0" y="0"/>
                        <a:ext cx="3359150" cy="473710"/>
                      </a:xfrm>
                      <a:prstGeom prst="rect">
                        <a:avLst/>
                      </a:prstGeom>
                      <a:solidFill>
                        <a:srgbClr val="FFFFFF">
                          <a:alpha val="0"/>
                        </a:srgbClr>
                      </a:solidFill>
                      <a:ln>
                        <a:noFill/>
                      </a:ln>
                    </wps:spPr>
                    <wps:txbx>
                      <w:txbxContent>
                        <w:p w14:paraId="1153253C" w14:textId="77777777" w:rsidR="00CA20B8" w:rsidRDefault="003225D9">
                          <w:pPr>
                            <w:jc w:val="center"/>
                            <w:rPr>
                              <w:rFonts w:ascii="SimSun" w:hAnsi="SimSun"/>
                              <w:b/>
                              <w:color w:val="FFFFFF"/>
                              <w:sz w:val="20"/>
                            </w:rPr>
                          </w:pPr>
                          <w:r>
                            <w:rPr>
                              <w:rFonts w:ascii="SimSun" w:hAnsi="SimSun"/>
                              <w:b/>
                              <w:color w:val="FFFFFF"/>
                              <w:sz w:val="20"/>
                            </w:rPr>
                            <w:t>Vol. 15 (1), 2022, page. xx-xx</w:t>
                          </w:r>
                        </w:p>
                        <w:p w14:paraId="3DC83515" w14:textId="77777777" w:rsidR="00CA20B8" w:rsidRDefault="003225D9">
                          <w:pPr>
                            <w:jc w:val="center"/>
                            <w:rPr>
                              <w:rFonts w:ascii="SimSun" w:hAnsi="SimSun"/>
                              <w:b/>
                              <w:color w:val="FFFFFF"/>
                              <w:sz w:val="20"/>
                            </w:rPr>
                          </w:pPr>
                          <w:r>
                            <w:rPr>
                              <w:rFonts w:ascii="SimSun" w:hAnsi="SimSun"/>
                              <w:b/>
                              <w:color w:val="FFFFFF"/>
                              <w:sz w:val="20"/>
                            </w:rPr>
                            <w:t xml:space="preserve">DOI : </w:t>
                          </w:r>
                          <w:hyperlink r:id="rId1" w:history="1">
                            <w:proofErr w:type="spellStart"/>
                            <w:r>
                              <w:rPr>
                                <w:rFonts w:ascii="Calibri" w:hAnsi="Calibri"/>
                                <w:b/>
                                <w:color w:val="FFFFFF"/>
                                <w:sz w:val="20"/>
                              </w:rPr>
                              <w:t>xxxx</w:t>
                            </w:r>
                            <w:proofErr w:type="spellEnd"/>
                          </w:hyperlink>
                          <w:r>
                            <w:rPr>
                              <w:rFonts w:ascii="Calibri" w:hAnsi="Calibri"/>
                              <w:b/>
                              <w:color w:val="FFFFFF"/>
                              <w:sz w:val="20"/>
                            </w:rPr>
                            <w:t xml:space="preserve"> </w:t>
                          </w:r>
                          <w:proofErr w:type="spellStart"/>
                          <w:r>
                            <w:rPr>
                              <w:rFonts w:ascii="Calibri" w:hAnsi="Calibri"/>
                              <w:b/>
                              <w:color w:val="FFFFFF"/>
                              <w:sz w:val="20"/>
                            </w:rPr>
                            <w:t>xxxxx</w:t>
                          </w:r>
                          <w:proofErr w:type="spellEnd"/>
                          <w:r>
                            <w:rPr>
                              <w:rFonts w:ascii="Calibri" w:hAnsi="Calibri"/>
                              <w:b/>
                              <w:color w:val="FFFFFF"/>
                              <w:sz w:val="20"/>
                            </w:rPr>
                            <w:t xml:space="preserve"> </w:t>
                          </w:r>
                          <w:proofErr w:type="spellStart"/>
                          <w:r>
                            <w:rPr>
                              <w:rFonts w:ascii="Calibri" w:hAnsi="Calibri"/>
                              <w:b/>
                              <w:color w:val="FFFFFF"/>
                              <w:sz w:val="20"/>
                            </w:rPr>
                            <w:t>xxxxx</w:t>
                          </w:r>
                          <w:proofErr w:type="spellEnd"/>
                        </w:p>
                      </w:txbxContent>
                    </wps:txbx>
                    <wps:bodyPr upright="1"/>
                  </wps:wsp>
                </a:graphicData>
              </a:graphic>
            </wp:anchor>
          </w:drawing>
        </mc:Choice>
        <mc:Fallback>
          <w:pict>
            <v:rect w14:anchorId="7A16B877" id="Rectangle 2" o:spid="_x0000_s1026" style="position:absolute;margin-left:97.45pt;margin-top:64.5pt;width:264.5pt;height:37.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5hjAEAABYDAAAOAAAAZHJzL2Uyb0RvYy54bWysUslu2zAQvRfoPxC817TipmkFyzk0cC9F&#10;GyDpB9AUKRHghhnGkv++Q8qxu9yK6jDiLHwz7w2397N37KgBbQwdb1ZrznRQsbdh6PiP5/27j5xh&#10;lqGXLgbd8ZNGfr97+2Y7pVbfxDG6XgMjkIDtlDo+5pxaIVCN2ktcxaQDJU0ELzO5MIge5ETo3omb&#10;9fqDmCL0CaLSiBR9WJJ8V/GN0Sp/NwZ1Zq7jNFuuFqo9FCt2W9kOINNo1XkM+Q9TeGkDNb1APcgs&#10;2QvYv6C8VRAxmrxS0YtojFW6ciA2zfoPNk+jTLpyIXEwXWTC/wervh2f0iOQDFPCFulYWMwGfPnT&#10;fGyuYp0uYuk5M0XBzeb2U3NLmirKvb/b3DVVTXG9nQDzFx09K4eOAy2jaiSPXzFTRyp9LSnNMDrb&#10;761z1YHh8NkBO0pa3L5+y12XRrlEX9vhUlrxfsNwoSCFWDCXdiUirkTLKc+H+cz+EPvTI7CXBHYY&#10;aeCmvI5aTuJX+PNDKdv91a9V1+e8+wkAAP//AwBQSwMEFAAGAAgAAAAhAPA/uhrgAAAACwEAAA8A&#10;AABkcnMvZG93bnJldi54bWxMjzFPwzAQhXek/gfrkNioQ4JaEuJUFW0GBoamRV3d+JpExOcodtvw&#10;7zkm2O7dPb37Xr6abC+uOPrOkYKneQQCqXamo0bBYV8+voDwQZPRvSNU8I0eVsXsLteZcTfa4bUK&#10;jeAQ8plW0IYwZFL6ukWr/dwNSHw7u9HqwHJspBn1jcNtL+MoWkirO+IPrR7wrcX6q7pYBVX5aT7S&#10;Y0iObiqb7ftmc94Oe6Ue7qf1K4iAU/gzwy8+o0PBTCd3IeNFzzp9TtnKQ5xyKXYs44Q3JwVxlCxA&#10;Frn836H4AQAA//8DAFBLAQItABQABgAIAAAAIQC2gziS/gAAAOEBAAATAAAAAAAAAAAAAAAAAAAA&#10;AABbQ29udGVudF9UeXBlc10ueG1sUEsBAi0AFAAGAAgAAAAhADj9If/WAAAAlAEAAAsAAAAAAAAA&#10;AAAAAAAALwEAAF9yZWxzLy5yZWxzUEsBAi0AFAAGAAgAAAAhAEfkvmGMAQAAFgMAAA4AAAAAAAAA&#10;AAAAAAAALgIAAGRycy9lMm9Eb2MueG1sUEsBAi0AFAAGAAgAAAAhAPA/uhrgAAAACwEAAA8AAAAA&#10;AAAAAAAAAAAA5gMAAGRycy9kb3ducmV2LnhtbFBLBQYAAAAABAAEAPMAAADzBAAAAAA=&#10;" stroked="f">
              <v:fill opacity="0"/>
              <v:textbox>
                <w:txbxContent>
                  <w:p w14:paraId="1153253C" w14:textId="77777777" w:rsidR="00CA20B8" w:rsidRDefault="003225D9">
                    <w:pPr>
                      <w:jc w:val="center"/>
                      <w:rPr>
                        <w:rFonts w:ascii="SimSun" w:hAnsi="SimSun"/>
                        <w:b/>
                        <w:color w:val="FFFFFF"/>
                        <w:sz w:val="20"/>
                      </w:rPr>
                    </w:pPr>
                    <w:r>
                      <w:rPr>
                        <w:rFonts w:ascii="SimSun" w:hAnsi="SimSun"/>
                        <w:b/>
                        <w:color w:val="FFFFFF"/>
                        <w:sz w:val="20"/>
                      </w:rPr>
                      <w:t>Vol. 15 (1), 2022, page. xx-xx</w:t>
                    </w:r>
                  </w:p>
                  <w:p w14:paraId="3DC83515" w14:textId="77777777" w:rsidR="00CA20B8" w:rsidRDefault="003225D9">
                    <w:pPr>
                      <w:jc w:val="center"/>
                      <w:rPr>
                        <w:rFonts w:ascii="SimSun" w:hAnsi="SimSun"/>
                        <w:b/>
                        <w:color w:val="FFFFFF"/>
                        <w:sz w:val="20"/>
                      </w:rPr>
                    </w:pPr>
                    <w:r>
                      <w:rPr>
                        <w:rFonts w:ascii="SimSun" w:hAnsi="SimSun"/>
                        <w:b/>
                        <w:color w:val="FFFFFF"/>
                        <w:sz w:val="20"/>
                      </w:rPr>
                      <w:t xml:space="preserve">DOI : </w:t>
                    </w:r>
                    <w:hyperlink r:id="rId2" w:history="1">
                      <w:proofErr w:type="spellStart"/>
                      <w:r>
                        <w:rPr>
                          <w:rFonts w:ascii="Calibri" w:hAnsi="Calibri"/>
                          <w:b/>
                          <w:color w:val="FFFFFF"/>
                          <w:sz w:val="20"/>
                        </w:rPr>
                        <w:t>xxxx</w:t>
                      </w:r>
                      <w:proofErr w:type="spellEnd"/>
                    </w:hyperlink>
                    <w:r>
                      <w:rPr>
                        <w:rFonts w:ascii="Calibri" w:hAnsi="Calibri"/>
                        <w:b/>
                        <w:color w:val="FFFFFF"/>
                        <w:sz w:val="20"/>
                      </w:rPr>
                      <w:t xml:space="preserve"> </w:t>
                    </w:r>
                    <w:proofErr w:type="spellStart"/>
                    <w:r>
                      <w:rPr>
                        <w:rFonts w:ascii="Calibri" w:hAnsi="Calibri"/>
                        <w:b/>
                        <w:color w:val="FFFFFF"/>
                        <w:sz w:val="20"/>
                      </w:rPr>
                      <w:t>xxxxx</w:t>
                    </w:r>
                    <w:proofErr w:type="spellEnd"/>
                    <w:r>
                      <w:rPr>
                        <w:rFonts w:ascii="Calibri" w:hAnsi="Calibri"/>
                        <w:b/>
                        <w:color w:val="FFFFFF"/>
                        <w:sz w:val="20"/>
                      </w:rPr>
                      <w:t xml:space="preserve"> </w:t>
                    </w:r>
                    <w:proofErr w:type="spellStart"/>
                    <w:r>
                      <w:rPr>
                        <w:rFonts w:ascii="Calibri" w:hAnsi="Calibri"/>
                        <w:b/>
                        <w:color w:val="FFFFFF"/>
                        <w:sz w:val="20"/>
                      </w:rPr>
                      <w:t>xxxxx</w:t>
                    </w:r>
                    <w:proofErr w:type="spellEnd"/>
                  </w:p>
                </w:txbxContent>
              </v:textbox>
            </v:rect>
          </w:pict>
        </mc:Fallback>
      </mc:AlternateContent>
    </w:r>
    <w:r>
      <w:rPr>
        <w:rFonts w:ascii="SimSun" w:hAnsi="SimSun"/>
        <w:noProof/>
        <w:sz w:val="22"/>
        <w:szCs w:val="20"/>
      </w:rPr>
      <w:drawing>
        <wp:inline distT="0" distB="0" distL="0" distR="0" wp14:anchorId="71165EA8" wp14:editId="023A4AC5">
          <wp:extent cx="5772150" cy="1310005"/>
          <wp:effectExtent l="19050" t="0" r="0" b="0"/>
          <wp:docPr id="4098" name="Picture 5"/>
          <wp:cNvGraphicFramePr/>
          <a:graphic xmlns:a="http://schemas.openxmlformats.org/drawingml/2006/main">
            <a:graphicData uri="http://schemas.openxmlformats.org/drawingml/2006/picture">
              <pic:pic xmlns:pic="http://schemas.openxmlformats.org/drawingml/2006/picture">
                <pic:nvPicPr>
                  <pic:cNvPr id="4098" name="Picture 5"/>
                  <pic:cNvPicPr/>
                </pic:nvPicPr>
                <pic:blipFill>
                  <a:blip r:embed="rId3" cstate="print"/>
                  <a:srcRect/>
                  <a:stretch>
                    <a:fillRect/>
                  </a:stretch>
                </pic:blipFill>
                <pic:spPr>
                  <a:xfrm>
                    <a:off x="0" y="0"/>
                    <a:ext cx="5772150" cy="1310005"/>
                  </a:xfrm>
                  <a:prstGeom prst="rect">
                    <a:avLst/>
                  </a:prstGeom>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lowerLetter"/>
      <w:lvlText w:val="%1)"/>
      <w:lvlJc w:val="left"/>
      <w:pPr>
        <w:tabs>
          <w:tab w:val="left" w:pos="425"/>
        </w:tabs>
        <w:ind w:left="425" w:hanging="425"/>
      </w:pPr>
      <w:rPr>
        <w:rFonts w:hint="default"/>
      </w:rPr>
    </w:lvl>
  </w:abstractNum>
  <w:abstractNum w:abstractNumId="1" w15:restartNumberingAfterBreak="0">
    <w:nsid w:val="00000002"/>
    <w:multiLevelType w:val="multilevel"/>
    <w:tmpl w:val="00000002"/>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0000003"/>
    <w:multiLevelType w:val="multilevel"/>
    <w:tmpl w:val="00000003"/>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3" w15:restartNumberingAfterBreak="0">
    <w:nsid w:val="00000005"/>
    <w:multiLevelType w:val="singleLevel"/>
    <w:tmpl w:val="00000005"/>
    <w:lvl w:ilvl="0">
      <w:start w:val="1"/>
      <w:numFmt w:val="upperRoman"/>
      <w:lvlText w:val="%1."/>
      <w:lvlJc w:val="left"/>
      <w:pPr>
        <w:tabs>
          <w:tab w:val="left" w:pos="425"/>
        </w:tabs>
        <w:ind w:left="425" w:hanging="425"/>
      </w:pPr>
      <w:rPr>
        <w:rFonts w:hint="default"/>
      </w:rPr>
    </w:lvl>
  </w:abstractNum>
  <w:abstractNum w:abstractNumId="4" w15:restartNumberingAfterBreak="0">
    <w:nsid w:val="00000006"/>
    <w:multiLevelType w:val="multilevel"/>
    <w:tmpl w:val="00000006"/>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0000008"/>
    <w:multiLevelType w:val="multilevel"/>
    <w:tmpl w:val="00000008"/>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forms" w:enforcement="0"/>
  <w:defaultTabStop w:val="432"/>
  <w:evenAndOddHeaders/>
  <w:drawingGridHorizontalSpacing w:val="120"/>
  <w:doNotShadeFormData/>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0B8"/>
    <w:rsid w:val="000059C8"/>
    <w:rsid w:val="001664DE"/>
    <w:rsid w:val="003225D9"/>
    <w:rsid w:val="003C6B81"/>
    <w:rsid w:val="005966A6"/>
    <w:rsid w:val="006C07D5"/>
    <w:rsid w:val="00706832"/>
    <w:rsid w:val="00871DB6"/>
    <w:rsid w:val="009D72BE"/>
    <w:rsid w:val="00C24579"/>
    <w:rsid w:val="00CA20B8"/>
    <w:rsid w:val="00DC24D7"/>
    <w:rsid w:val="00DD6EEE"/>
    <w:rsid w:val="1FC57D0D"/>
    <w:rsid w:val="402A2465"/>
    <w:rsid w:val="433421B1"/>
    <w:rsid w:val="4E481FFC"/>
    <w:rsid w:val="69B96D73"/>
    <w:rsid w:val="6B673619"/>
    <w:rsid w:val="73B739B7"/>
    <w:rsid w:val="741944E8"/>
    <w:rsid w:val="7BFF3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CBB8"/>
  <w15:docId w15:val="{C9AD85D9-F0D3-4FEE-898A-34DE1505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qFormat="1"/>
    <w:lsdException w:name="header" w:uiPriority="99" w:qFormat="1"/>
    <w:lsdException w:name="footer" w:uiPriority="99" w:qFormat="1"/>
    <w:lsdException w:name="caption" w:uiPriority="99" w:qFormat="1"/>
    <w:lsdException w:name="footnote reference" w:uiPriority="99" w:qFormat="1"/>
    <w:lsdException w:name="endnote reference" w:uiPriority="99" w:qFormat="1"/>
    <w:lsdException w:name="endnote text" w:uiPriority="99" w:qFormat="1"/>
    <w:lsdException w:name="Title" w:qFormat="1"/>
    <w:lsdException w:name="Default Paragraph Fon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imes New Roman" w:eastAsia="Calibri" w:hAnsi="Times New Roman"/>
      <w:sz w:val="24"/>
      <w:szCs w:val="22"/>
      <w:lang w:val="en-US" w:eastAsia="en-US"/>
    </w:rPr>
  </w:style>
  <w:style w:type="paragraph" w:styleId="Heading1">
    <w:name w:val="heading 1"/>
    <w:basedOn w:val="Normal"/>
    <w:next w:val="Normal"/>
    <w:link w:val="Heading1Char"/>
    <w:uiPriority w:val="9"/>
    <w:qFormat/>
    <w:pPr>
      <w:keepNext/>
      <w:keepLines/>
      <w:spacing w:after="0" w:line="240" w:lineRule="auto"/>
      <w:jc w:val="center"/>
      <w:outlineLvl w:val="0"/>
    </w:pPr>
    <w:rPr>
      <w:rFonts w:eastAsia="SimSun"/>
      <w:b/>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E79"/>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i/>
      <w:iCs/>
      <w:color w:val="2E74B5"/>
    </w:rPr>
  </w:style>
  <w:style w:type="paragraph" w:styleId="Heading5">
    <w:name w:val="heading 5"/>
    <w:basedOn w:val="Normal"/>
    <w:next w:val="Normal"/>
    <w:link w:val="Heading5Char"/>
    <w:uiPriority w:val="9"/>
    <w:qFormat/>
    <w:pPr>
      <w:keepNext/>
      <w:keepLines/>
      <w:spacing w:before="40" w:after="0"/>
      <w:outlineLvl w:val="4"/>
    </w:pPr>
    <w:rPr>
      <w:rFonts w:ascii="Calibri Light" w:eastAsia="SimSun" w:hAnsi="Calibri Light"/>
      <w:color w:val="2E74B5"/>
    </w:rPr>
  </w:style>
  <w:style w:type="paragraph" w:styleId="Heading6">
    <w:name w:val="heading 6"/>
    <w:basedOn w:val="Normal"/>
    <w:next w:val="Normal"/>
    <w:link w:val="Heading6Char"/>
    <w:uiPriority w:val="9"/>
    <w:qFormat/>
    <w:pPr>
      <w:keepNext/>
      <w:keepLines/>
      <w:spacing w:before="40" w:after="0"/>
      <w:outlineLvl w:val="5"/>
    </w:pPr>
    <w:rPr>
      <w:rFonts w:ascii="Calibri Light" w:eastAsia="SimSun" w:hAnsi="Calibri Light"/>
      <w:color w:val="1F4E79"/>
    </w:rPr>
  </w:style>
  <w:style w:type="paragraph" w:styleId="Heading7">
    <w:name w:val="heading 7"/>
    <w:basedOn w:val="Normal"/>
    <w:next w:val="Normal"/>
    <w:link w:val="Heading7Char"/>
    <w:uiPriority w:val="9"/>
    <w:qFormat/>
    <w:pPr>
      <w:keepNext/>
      <w:keepLines/>
      <w:spacing w:before="40" w:after="0"/>
      <w:outlineLvl w:val="6"/>
    </w:pPr>
    <w:rPr>
      <w:rFonts w:ascii="Calibri Light" w:eastAsia="SimSun" w:hAnsi="Calibri Light"/>
      <w:i/>
      <w:iCs/>
      <w:color w:val="1F4E79"/>
    </w:rPr>
  </w:style>
  <w:style w:type="paragraph" w:styleId="Heading8">
    <w:name w:val="heading 8"/>
    <w:basedOn w:val="Normal"/>
    <w:next w:val="Normal"/>
    <w:link w:val="Heading8Char"/>
    <w:uiPriority w:val="9"/>
    <w:qFormat/>
    <w:pPr>
      <w:keepNext/>
      <w:keepLines/>
      <w:spacing w:before="40" w:after="0"/>
      <w:outlineLvl w:val="7"/>
    </w:pPr>
    <w:rPr>
      <w:rFonts w:ascii="Calibri Light" w:eastAsia="SimSun" w:hAnsi="Calibri Light"/>
      <w:color w:val="262626"/>
      <w:sz w:val="21"/>
      <w:szCs w:val="21"/>
    </w:rPr>
  </w:style>
  <w:style w:type="paragraph" w:styleId="Heading9">
    <w:name w:val="heading 9"/>
    <w:basedOn w:val="Normal"/>
    <w:next w:val="Normal"/>
    <w:link w:val="Heading9Char"/>
    <w:uiPriority w:val="9"/>
    <w:qFormat/>
    <w:pPr>
      <w:keepNext/>
      <w:keepLines/>
      <w:spacing w:before="40" w:after="0"/>
      <w:outlineLvl w:val="8"/>
    </w:pPr>
    <w:rPr>
      <w:rFonts w:ascii="Calibri Light" w:eastAsia="SimSu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Caption">
    <w:name w:val="caption"/>
    <w:basedOn w:val="Normal"/>
    <w:next w:val="Normal"/>
    <w:uiPriority w:val="99"/>
    <w:qFormat/>
    <w:pPr>
      <w:spacing w:after="200" w:line="240" w:lineRule="auto"/>
    </w:pPr>
    <w:rPr>
      <w:b/>
      <w:bCs/>
      <w:color w:val="5B9BD5"/>
      <w:sz w:val="18"/>
      <w:szCs w:val="18"/>
    </w:rPr>
  </w:style>
  <w:style w:type="paragraph" w:styleId="CommentText">
    <w:name w:val="annotation text"/>
    <w:basedOn w:val="Normal"/>
  </w:style>
  <w:style w:type="character" w:styleId="EndnoteReference">
    <w:name w:val="endnote reference"/>
    <w:basedOn w:val="DefaultParagraphFont"/>
    <w:uiPriority w:val="99"/>
    <w:qFormat/>
    <w:rPr>
      <w:vertAlign w:val="superscript"/>
    </w:rPr>
  </w:style>
  <w:style w:type="paragraph" w:styleId="EndnoteText">
    <w:name w:val="endnote text"/>
    <w:basedOn w:val="Normal"/>
    <w:link w:val="EndnoteTextChar"/>
    <w:uiPriority w:val="99"/>
    <w:qFormat/>
    <w:pPr>
      <w:spacing w:after="0" w:line="240" w:lineRule="auto"/>
    </w:pPr>
    <w:rPr>
      <w:sz w:val="20"/>
      <w:szCs w:val="20"/>
    </w:rPr>
  </w:style>
  <w:style w:type="paragraph" w:styleId="Footer">
    <w:name w:val="footer"/>
    <w:basedOn w:val="Normal"/>
    <w:link w:val="FooterChar"/>
    <w:uiPriority w:val="99"/>
    <w:qFormat/>
    <w:pPr>
      <w:tabs>
        <w:tab w:val="center" w:pos="4680"/>
        <w:tab w:val="right" w:pos="9360"/>
      </w:tabs>
      <w:spacing w:after="0" w:line="240" w:lineRule="auto"/>
    </w:p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qFormat/>
    <w:pPr>
      <w:spacing w:after="0" w:line="240" w:lineRule="auto"/>
    </w:pPr>
    <w:rPr>
      <w:sz w:val="20"/>
      <w:szCs w:val="20"/>
    </w:r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Pr>
      <w:color w:val="808080"/>
    </w:rPr>
  </w:style>
  <w:style w:type="character" w:customStyle="1" w:styleId="JUDUL">
    <w:name w:val="JUDUL"/>
    <w:basedOn w:val="DefaultParagraphFont"/>
    <w:uiPriority w:val="1"/>
    <w:qFormat/>
  </w:style>
  <w:style w:type="character" w:customStyle="1" w:styleId="Heading1Char">
    <w:name w:val="Heading 1 Char"/>
    <w:basedOn w:val="DefaultParagraphFont"/>
    <w:link w:val="Heading1"/>
    <w:uiPriority w:val="9"/>
    <w:qFormat/>
    <w:rPr>
      <w:rFonts w:eastAsia="SimSun" w:cs="SimSun"/>
      <w:b/>
      <w:szCs w:val="32"/>
    </w:rPr>
  </w:style>
  <w:style w:type="paragraph" w:styleId="NoSpacing">
    <w:name w:val="No Spacing"/>
    <w:link w:val="NoSpacingChar"/>
    <w:uiPriority w:val="1"/>
    <w:qFormat/>
    <w:rPr>
      <w:sz w:val="22"/>
      <w:szCs w:val="22"/>
      <w:lang w:val="en-US" w:eastAsia="en-US"/>
    </w:rPr>
  </w:style>
  <w:style w:type="character" w:customStyle="1" w:styleId="NoSpacingChar">
    <w:name w:val="No Spacing Char"/>
    <w:basedOn w:val="DefaultParagraphFont"/>
    <w:link w:val="NoSpacing"/>
    <w:uiPriority w:val="1"/>
    <w:qFormat/>
    <w:rPr>
      <w:rFonts w:ascii="Calibri" w:eastAsia="SimSun" w:hAnsi="Calibri"/>
      <w:sz w:val="22"/>
    </w:rPr>
  </w:style>
  <w:style w:type="paragraph" w:customStyle="1" w:styleId="Abstract">
    <w:name w:val="Abstract"/>
    <w:basedOn w:val="Normal"/>
    <w:link w:val="AbstractChar"/>
    <w:qFormat/>
    <w:pPr>
      <w:spacing w:after="0" w:line="240" w:lineRule="auto"/>
      <w:ind w:firstLine="709"/>
      <w:jc w:val="both"/>
    </w:pPr>
    <w:rPr>
      <w:i/>
      <w:sz w:val="20"/>
    </w:rPr>
  </w:style>
  <w:style w:type="paragraph" w:customStyle="1" w:styleId="textnormal">
    <w:name w:val="text normal"/>
    <w:basedOn w:val="Normal"/>
    <w:link w:val="textnormalChar"/>
    <w:qFormat/>
    <w:pPr>
      <w:spacing w:after="0" w:line="240" w:lineRule="auto"/>
      <w:jc w:val="both"/>
    </w:pPr>
  </w:style>
  <w:style w:type="character" w:customStyle="1" w:styleId="AbstractChar">
    <w:name w:val="Abstract Char"/>
    <w:basedOn w:val="DefaultParagraphFont"/>
    <w:link w:val="Abstract"/>
    <w:qFormat/>
    <w:rPr>
      <w:i/>
      <w:sz w:val="20"/>
    </w:rPr>
  </w:style>
  <w:style w:type="paragraph" w:styleId="ListParagraph">
    <w:name w:val="List Paragraph"/>
    <w:basedOn w:val="Normal"/>
    <w:uiPriority w:val="34"/>
    <w:qFormat/>
    <w:pPr>
      <w:ind w:left="720"/>
      <w:contextualSpacing/>
    </w:pPr>
  </w:style>
  <w:style w:type="character" w:customStyle="1" w:styleId="textnormalChar">
    <w:name w:val="text normal Char"/>
    <w:basedOn w:val="DefaultParagraphFont"/>
    <w:link w:val="textnormal"/>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Style1">
    <w:name w:val="Style1"/>
    <w:basedOn w:val="DefaultParagraphFont"/>
    <w:uiPriority w:val="1"/>
    <w:qFormat/>
    <w:rPr>
      <w:rFonts w:ascii="Times New Roman" w:hAnsi="Times New Roman"/>
      <w:i/>
      <w:sz w:val="22"/>
    </w:rPr>
  </w:style>
  <w:style w:type="character" w:customStyle="1" w:styleId="Style2">
    <w:name w:val="Style2"/>
    <w:basedOn w:val="DefaultParagraphFont"/>
    <w:uiPriority w:val="1"/>
    <w:qFormat/>
    <w:rPr>
      <w:sz w:val="20"/>
    </w:rPr>
  </w:style>
  <w:style w:type="character" w:customStyle="1" w:styleId="Heading2Char">
    <w:name w:val="Heading 2 Char"/>
    <w:basedOn w:val="DefaultParagraphFont"/>
    <w:link w:val="Heading2"/>
    <w:uiPriority w:val="9"/>
    <w:qFormat/>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qFormat/>
    <w:rPr>
      <w:rFonts w:ascii="Calibri Light" w:eastAsia="SimSun" w:hAnsi="Calibri Light" w:cs="SimSun"/>
      <w:color w:val="1F4E79"/>
      <w:szCs w:val="24"/>
    </w:rPr>
  </w:style>
  <w:style w:type="character" w:customStyle="1" w:styleId="Heading4Char">
    <w:name w:val="Heading 4 Char"/>
    <w:basedOn w:val="DefaultParagraphFont"/>
    <w:link w:val="Heading4"/>
    <w:uiPriority w:val="9"/>
    <w:qFormat/>
    <w:rPr>
      <w:rFonts w:ascii="Calibri Light" w:eastAsia="SimSun" w:hAnsi="Calibri Light" w:cs="SimSun"/>
      <w:i/>
      <w:iCs/>
      <w:color w:val="2E74B5"/>
    </w:rPr>
  </w:style>
  <w:style w:type="character" w:customStyle="1" w:styleId="Heading5Char">
    <w:name w:val="Heading 5 Char"/>
    <w:basedOn w:val="DefaultParagraphFont"/>
    <w:link w:val="Heading5"/>
    <w:uiPriority w:val="9"/>
    <w:qFormat/>
    <w:rPr>
      <w:rFonts w:ascii="Calibri Light" w:eastAsia="SimSun" w:hAnsi="Calibri Light" w:cs="SimSun"/>
      <w:color w:val="2E74B5"/>
    </w:rPr>
  </w:style>
  <w:style w:type="character" w:customStyle="1" w:styleId="Heading6Char">
    <w:name w:val="Heading 6 Char"/>
    <w:basedOn w:val="DefaultParagraphFont"/>
    <w:link w:val="Heading6"/>
    <w:uiPriority w:val="9"/>
    <w:qFormat/>
    <w:rPr>
      <w:rFonts w:ascii="Calibri Light" w:eastAsia="SimSun" w:hAnsi="Calibri Light" w:cs="SimSun"/>
      <w:color w:val="1F4E79"/>
    </w:rPr>
  </w:style>
  <w:style w:type="character" w:customStyle="1" w:styleId="Heading7Char">
    <w:name w:val="Heading 7 Char"/>
    <w:basedOn w:val="DefaultParagraphFont"/>
    <w:link w:val="Heading7"/>
    <w:uiPriority w:val="9"/>
    <w:qFormat/>
    <w:rPr>
      <w:rFonts w:ascii="Calibri Light" w:eastAsia="SimSun" w:hAnsi="Calibri Light" w:cs="SimSun"/>
      <w:i/>
      <w:iCs/>
      <w:color w:val="1F4E79"/>
    </w:rPr>
  </w:style>
  <w:style w:type="character" w:customStyle="1" w:styleId="Heading8Char">
    <w:name w:val="Heading 8 Char"/>
    <w:basedOn w:val="DefaultParagraphFont"/>
    <w:link w:val="Heading8"/>
    <w:uiPriority w:val="9"/>
    <w:qFormat/>
    <w:rPr>
      <w:rFonts w:ascii="Calibri Light" w:eastAsia="SimSun" w:hAnsi="Calibri Light" w:cs="SimSun"/>
      <w:color w:val="262626"/>
      <w:sz w:val="21"/>
      <w:szCs w:val="21"/>
    </w:rPr>
  </w:style>
  <w:style w:type="character" w:customStyle="1" w:styleId="Heading9Char">
    <w:name w:val="Heading 9 Char"/>
    <w:basedOn w:val="DefaultParagraphFont"/>
    <w:link w:val="Heading9"/>
    <w:uiPriority w:val="9"/>
    <w:qFormat/>
    <w:rPr>
      <w:rFonts w:ascii="Calibri Light" w:eastAsia="SimSun" w:hAnsi="Calibri Light" w:cs="SimSun"/>
      <w:i/>
      <w:iCs/>
      <w:color w:val="262626"/>
      <w:sz w:val="21"/>
      <w:szCs w:val="21"/>
    </w:rPr>
  </w:style>
  <w:style w:type="paragraph" w:customStyle="1" w:styleId="Acknowledgement">
    <w:name w:val="Acknowledgement"/>
    <w:basedOn w:val="Heading1"/>
    <w:qFormat/>
    <w:pPr>
      <w:spacing w:before="240" w:after="240" w:line="276" w:lineRule="auto"/>
      <w:jc w:val="left"/>
    </w:pPr>
    <w:rPr>
      <w:bCs/>
      <w:sz w:val="21"/>
      <w:lang w:val="id-ID"/>
    </w:rPr>
  </w:style>
  <w:style w:type="paragraph" w:customStyle="1" w:styleId="Reference">
    <w:name w:val="Reference"/>
    <w:qFormat/>
    <w:pPr>
      <w:tabs>
        <w:tab w:val="left" w:pos="709"/>
      </w:tabs>
      <w:ind w:left="567" w:hanging="567"/>
      <w:jc w:val="both"/>
    </w:pPr>
    <w:rPr>
      <w:rFonts w:ascii="Times" w:eastAsia="Times New Roman" w:hAnsi="Times" w:cs="Times New Roman"/>
      <w:color w:val="000000"/>
      <w:sz w:val="22"/>
      <w:szCs w:val="22"/>
      <w:lang w:val="en-GB" w:eastAsia="en-US"/>
    </w:rPr>
  </w:style>
  <w:style w:type="character" w:customStyle="1" w:styleId="FootnoteTextChar">
    <w:name w:val="Footnote Text Char"/>
    <w:basedOn w:val="DefaultParagraphFont"/>
    <w:link w:val="FootnoteText"/>
    <w:uiPriority w:val="99"/>
    <w:qFormat/>
    <w:rPr>
      <w:sz w:val="20"/>
      <w:szCs w:val="20"/>
    </w:rPr>
  </w:style>
  <w:style w:type="character" w:customStyle="1" w:styleId="EndnoteTextChar">
    <w:name w:val="Endnote Text Char"/>
    <w:basedOn w:val="DefaultParagraphFont"/>
    <w:link w:val="EndnoteText"/>
    <w:uiPriority w:val="99"/>
    <w:qFormat/>
    <w:rPr>
      <w:sz w:val="20"/>
      <w:szCs w:val="20"/>
    </w:rPr>
  </w:style>
  <w:style w:type="paragraph" w:customStyle="1" w:styleId="IJASEITParagraph">
    <w:name w:val="IJASEIT Paragraph"/>
    <w:basedOn w:val="Normal"/>
    <w:qFormat/>
    <w:pPr>
      <w:adjustRightInd w:val="0"/>
      <w:snapToGrid w:val="0"/>
      <w:ind w:firstLine="216"/>
      <w:jc w:val="both"/>
    </w:pPr>
    <w:rPr>
      <w:sz w:val="20"/>
    </w:rPr>
  </w:style>
  <w:style w:type="paragraph" w:customStyle="1" w:styleId="IJASEITHeading2">
    <w:name w:val="IJASEIT Heading 2"/>
    <w:basedOn w:val="Normal"/>
    <w:next w:val="IJASEITParagraph"/>
    <w:qFormat/>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pPr>
      <w:spacing w:before="0"/>
    </w:pPr>
    <w:rPr>
      <w:sz w:val="16"/>
    </w:rPr>
  </w:style>
  <w:style w:type="paragraph" w:customStyle="1" w:styleId="IJASEITTitle">
    <w:name w:val="IJASEIT Title"/>
    <w:basedOn w:val="Normal"/>
    <w:next w:val="IJASEITAuthorName"/>
    <w:qFormat/>
    <w:pPr>
      <w:adjustRightInd w:val="0"/>
      <w:snapToGrid w:val="0"/>
      <w:spacing w:before="2560"/>
      <w:jc w:val="center"/>
    </w:pPr>
    <w:rPr>
      <w:sz w:val="36"/>
    </w:rPr>
  </w:style>
  <w:style w:type="paragraph" w:customStyle="1" w:styleId="IJASEITAuthorName">
    <w:name w:val="IJASEIT Author Name"/>
    <w:basedOn w:val="Normal"/>
    <w:next w:val="Normal"/>
    <w:qFormat/>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qFormat/>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qFormat/>
    <w:pPr>
      <w:numPr>
        <w:numId w:val="4"/>
      </w:numPr>
      <w:adjustRightInd w:val="0"/>
      <w:snapToGrid w:val="0"/>
      <w:jc w:val="both"/>
    </w:pPr>
    <w:rPr>
      <w:sz w:val="16"/>
    </w:rPr>
  </w:style>
  <w:style w:type="table" w:customStyle="1" w:styleId="Style31">
    <w:name w:val="_Style 31"/>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32">
    <w:name w:val="_Style 32"/>
    <w:basedOn w:val="TableNormal1"/>
    <w:qFormat/>
    <w:tblPr>
      <w:tblCellMar>
        <w:left w:w="115" w:type="dxa"/>
        <w:right w:w="115" w:type="dxa"/>
      </w:tblCellMar>
    </w:tblPr>
  </w:style>
  <w:style w:type="table" w:customStyle="1" w:styleId="Style33">
    <w:name w:val="_Style 33"/>
    <w:basedOn w:val="TableNormal1"/>
    <w:qFormat/>
    <w:tblPr>
      <w:tblCellMar>
        <w:left w:w="115" w:type="dxa"/>
        <w:right w:w="115" w:type="dxa"/>
      </w:tblCellMar>
    </w:tblPr>
  </w:style>
  <w:style w:type="paragraph" w:styleId="HTMLPreformatted">
    <w:name w:val="HTML Preformatted"/>
    <w:basedOn w:val="Normal"/>
    <w:link w:val="HTMLPreformattedChar"/>
    <w:uiPriority w:val="99"/>
    <w:unhideWhenUsed/>
    <w:rsid w:val="006C0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6C07D5"/>
    <w:rPr>
      <w:rFonts w:ascii="Courier New" w:eastAsia="Times New Roman" w:hAnsi="Courier New" w:cs="Courier New"/>
    </w:rPr>
  </w:style>
  <w:style w:type="character" w:customStyle="1" w:styleId="y2iqfc">
    <w:name w:val="y2iqfc"/>
    <w:basedOn w:val="DefaultParagraphFont"/>
    <w:rsid w:val="006C07D5"/>
  </w:style>
  <w:style w:type="paragraph" w:customStyle="1" w:styleId="msonospacing0">
    <w:name w:val="msonospacing"/>
    <w:qFormat/>
    <w:rsid w:val="00C24579"/>
    <w:rPr>
      <w:rFonts w:eastAsia="Calibri" w:cs="Times New Roma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4954">
      <w:bodyDiv w:val="1"/>
      <w:marLeft w:val="0"/>
      <w:marRight w:val="0"/>
      <w:marTop w:val="0"/>
      <w:marBottom w:val="0"/>
      <w:divBdr>
        <w:top w:val="none" w:sz="0" w:space="0" w:color="auto"/>
        <w:left w:val="none" w:sz="0" w:space="0" w:color="auto"/>
        <w:bottom w:val="none" w:sz="0" w:space="0" w:color="auto"/>
        <w:right w:val="none" w:sz="0" w:space="0" w:color="auto"/>
      </w:divBdr>
    </w:div>
    <w:div w:id="578757946">
      <w:bodyDiv w:val="1"/>
      <w:marLeft w:val="0"/>
      <w:marRight w:val="0"/>
      <w:marTop w:val="0"/>
      <w:marBottom w:val="0"/>
      <w:divBdr>
        <w:top w:val="none" w:sz="0" w:space="0" w:color="auto"/>
        <w:left w:val="none" w:sz="0" w:space="0" w:color="auto"/>
        <w:bottom w:val="none" w:sz="0" w:space="0" w:color="auto"/>
        <w:right w:val="none" w:sz="0" w:space="0" w:color="auto"/>
      </w:divBdr>
    </w:div>
    <w:div w:id="174668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dx.doi.org/10.24036/10741171074" TargetMode="External"/><Relationship Id="rId1" Type="http://schemas.openxmlformats.org/officeDocument/2006/relationships/hyperlink" Target="http://dx.doi.org/10.24036/10741171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EC314D4E-8AAD-4924-8588-200339A1D9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5115</Words>
  <Characters>29159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2021-12-21T05:10:00Z</dcterms:created>
  <dcterms:modified xsi:type="dcterms:W3CDTF">2022-01-11T06:13:00Z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EB5CA80D91E043F39EEC2479B0BB5ED9</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http://www.zotero.org/styles/ieee</vt:lpwstr>
  </property>
  <property fmtid="{D5CDD505-2E9C-101B-9397-08002B2CF9AE}" pid="25" name="Mendeley Document_1">
    <vt:lpwstr>True</vt:lpwstr>
  </property>
  <property fmtid="{D5CDD505-2E9C-101B-9397-08002B2CF9AE}" pid="26" name="Mendeley Unique User Id_1">
    <vt:lpwstr>9053dfac-cada-34bc-826d-3e1fbe946d13</vt:lpwstr>
  </property>
</Properties>
</file>