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1FB74E6FD38142A2A4696B1C4388EF24"/>
          </w:placeholder>
        </w:sdtPr>
        <w:sdtEndPr>
          <w:rPr>
            <w:rStyle w:val="DefaultParagraphFont"/>
            <w:rFonts w:eastAsiaTheme="minorHAnsi" w:cstheme="minorBidi"/>
            <w:b w:val="0"/>
            <w:szCs w:val="22"/>
          </w:rPr>
        </w:sdtEndPr>
        <w:sdtContent>
          <w:tr w:rsidR="001B72FC">
            <w:tc>
              <w:tcPr>
                <w:tcW w:w="9062" w:type="dxa"/>
                <w:tcMar>
                  <w:left w:w="0" w:type="dxa"/>
                  <w:right w:w="0" w:type="dxa"/>
                </w:tcMar>
              </w:tcPr>
              <w:p w:rsidR="001B72FC" w:rsidRDefault="003217BF" w:rsidP="00502322">
                <w:pPr>
                  <w:spacing w:before="480" w:after="240" w:line="240" w:lineRule="auto"/>
                  <w:jc w:val="center"/>
                  <w:rPr>
                    <w:rFonts w:eastAsiaTheme="majorEastAsia" w:cstheme="majorBidi"/>
                    <w:b/>
                    <w:szCs w:val="32"/>
                  </w:rPr>
                </w:pPr>
                <w:r>
                  <w:rPr>
                    <w:rStyle w:val="Heading1Char"/>
                    <w:sz w:val="28"/>
                    <w:szCs w:val="28"/>
                  </w:rPr>
                  <w:t>MA</w:t>
                </w:r>
                <w:r w:rsidR="00E17DDC">
                  <w:rPr>
                    <w:rStyle w:val="Heading1Char"/>
                    <w:sz w:val="28"/>
                    <w:szCs w:val="28"/>
                  </w:rPr>
                  <w:t>P</w:t>
                </w:r>
                <w:r w:rsidR="00572C46">
                  <w:rPr>
                    <w:rStyle w:val="Heading1Char"/>
                    <w:sz w:val="28"/>
                    <w:szCs w:val="28"/>
                  </w:rPr>
                  <w:t>PING OF</w:t>
                </w:r>
                <w:r w:rsidR="00DB5F07">
                  <w:rPr>
                    <w:rStyle w:val="Heading1Char"/>
                    <w:sz w:val="28"/>
                    <w:szCs w:val="28"/>
                  </w:rPr>
                  <w:t xml:space="preserve"> </w:t>
                </w:r>
                <w:r w:rsidR="00572C46">
                  <w:rPr>
                    <w:rStyle w:val="Heading1Char"/>
                    <w:sz w:val="28"/>
                    <w:szCs w:val="28"/>
                  </w:rPr>
                  <w:t xml:space="preserve">THE </w:t>
                </w:r>
                <w:r>
                  <w:rPr>
                    <w:rStyle w:val="Heading1Char"/>
                    <w:sz w:val="28"/>
                    <w:szCs w:val="28"/>
                  </w:rPr>
                  <w:t>PE</w:t>
                </w:r>
                <w:r w:rsidR="00E17DDC">
                  <w:rPr>
                    <w:rStyle w:val="Heading1Char"/>
                    <w:sz w:val="28"/>
                    <w:szCs w:val="28"/>
                  </w:rPr>
                  <w:t>A</w:t>
                </w:r>
                <w:r>
                  <w:rPr>
                    <w:rStyle w:val="Heading1Char"/>
                    <w:sz w:val="28"/>
                    <w:szCs w:val="28"/>
                  </w:rPr>
                  <w:t>K</w:t>
                </w:r>
                <w:r w:rsidR="00E17DDC">
                  <w:rPr>
                    <w:rStyle w:val="Heading1Char"/>
                    <w:sz w:val="28"/>
                    <w:szCs w:val="28"/>
                  </w:rPr>
                  <w:t xml:space="preserve"> </w:t>
                </w:r>
                <w:r>
                  <w:rPr>
                    <w:rStyle w:val="Heading1Char"/>
                    <w:sz w:val="28"/>
                    <w:szCs w:val="28"/>
                  </w:rPr>
                  <w:t>GR</w:t>
                </w:r>
                <w:r w:rsidR="00E17DDC">
                  <w:rPr>
                    <w:rStyle w:val="Heading1Char"/>
                    <w:sz w:val="28"/>
                    <w:szCs w:val="28"/>
                  </w:rPr>
                  <w:t>O</w:t>
                </w:r>
                <w:r>
                  <w:rPr>
                    <w:rStyle w:val="Heading1Char"/>
                    <w:sz w:val="28"/>
                    <w:szCs w:val="28"/>
                  </w:rPr>
                  <w:t>UND AC</w:t>
                </w:r>
                <w:r w:rsidR="00E17DDC">
                  <w:rPr>
                    <w:rStyle w:val="Heading1Char"/>
                    <w:sz w:val="28"/>
                    <w:szCs w:val="28"/>
                  </w:rPr>
                  <w:t>C</w:t>
                </w:r>
                <w:r>
                  <w:rPr>
                    <w:rStyle w:val="Heading1Char"/>
                    <w:sz w:val="28"/>
                    <w:szCs w:val="28"/>
                  </w:rPr>
                  <w:t>ELER</w:t>
                </w:r>
                <w:r w:rsidR="00502322">
                  <w:rPr>
                    <w:rStyle w:val="Heading1Char"/>
                    <w:sz w:val="28"/>
                    <w:szCs w:val="28"/>
                  </w:rPr>
                  <w:t>ATION</w:t>
                </w:r>
                <w:r>
                  <w:rPr>
                    <w:rStyle w:val="Heading1Char"/>
                    <w:sz w:val="28"/>
                    <w:szCs w:val="28"/>
                  </w:rPr>
                  <w:t xml:space="preserve"> </w:t>
                </w:r>
                <w:r w:rsidR="00E17DDC">
                  <w:rPr>
                    <w:rStyle w:val="Heading1Char"/>
                    <w:sz w:val="28"/>
                    <w:szCs w:val="28"/>
                  </w:rPr>
                  <w:t>A</w:t>
                </w:r>
                <w:r>
                  <w:rPr>
                    <w:rStyle w:val="Heading1Char"/>
                    <w:sz w:val="28"/>
                    <w:szCs w:val="28"/>
                  </w:rPr>
                  <w:t xml:space="preserve">ND </w:t>
                </w:r>
                <w:r w:rsidR="00E17DDC">
                  <w:rPr>
                    <w:rStyle w:val="Heading1Char"/>
                    <w:sz w:val="28"/>
                    <w:szCs w:val="28"/>
                  </w:rPr>
                  <w:t>E</w:t>
                </w:r>
                <w:r>
                  <w:rPr>
                    <w:rStyle w:val="Heading1Char"/>
                    <w:sz w:val="28"/>
                    <w:szCs w:val="28"/>
                  </w:rPr>
                  <w:t>A</w:t>
                </w:r>
                <w:r w:rsidR="00E17DDC">
                  <w:rPr>
                    <w:rStyle w:val="Heading1Char"/>
                    <w:sz w:val="28"/>
                    <w:szCs w:val="28"/>
                  </w:rPr>
                  <w:t>R</w:t>
                </w:r>
                <w:r>
                  <w:rPr>
                    <w:rStyle w:val="Heading1Char"/>
                    <w:sz w:val="28"/>
                    <w:szCs w:val="28"/>
                  </w:rPr>
                  <w:t>THQUAKE INTENSITY IN PADANG CITY USING</w:t>
                </w:r>
                <w:r w:rsidR="00E17DDC">
                  <w:rPr>
                    <w:rStyle w:val="Heading1Char"/>
                    <w:sz w:val="28"/>
                    <w:szCs w:val="28"/>
                  </w:rPr>
                  <w:t xml:space="preserve"> E</w:t>
                </w:r>
                <w:r w:rsidR="006D24C6">
                  <w:rPr>
                    <w:rStyle w:val="Heading1Char"/>
                    <w:sz w:val="28"/>
                    <w:szCs w:val="28"/>
                  </w:rPr>
                  <w:t>MPIRICAL FORMULA</w:t>
                </w:r>
                <w:r w:rsidR="00FD5834">
                  <w:rPr>
                    <w:rStyle w:val="Heading1Char"/>
                    <w:sz w:val="28"/>
                    <w:szCs w:val="28"/>
                  </w:rPr>
                  <w:t>TION</w:t>
                </w:r>
                <w:r>
                  <w:rPr>
                    <w:rStyle w:val="Heading1Char"/>
                    <w:sz w:val="28"/>
                    <w:szCs w:val="28"/>
                  </w:rPr>
                  <w:t xml:space="preserve"> WITH ACCELER</w:t>
                </w:r>
                <w:r w:rsidR="00502322">
                  <w:rPr>
                    <w:rStyle w:val="Heading1Char"/>
                    <w:sz w:val="28"/>
                    <w:szCs w:val="28"/>
                  </w:rPr>
                  <w:t>OGRAPH</w:t>
                </w:r>
                <w:r w:rsidR="00E17DDC">
                  <w:rPr>
                    <w:rStyle w:val="Heading1Char"/>
                    <w:sz w:val="28"/>
                    <w:szCs w:val="28"/>
                  </w:rPr>
                  <w:t xml:space="preserve"> </w:t>
                </w:r>
                <w:r w:rsidR="00502322">
                  <w:rPr>
                    <w:rStyle w:val="Heading1Char"/>
                    <w:sz w:val="28"/>
                    <w:szCs w:val="28"/>
                  </w:rPr>
                  <w:t>DATA VAL</w:t>
                </w:r>
                <w:r w:rsidR="00E17DDC">
                  <w:rPr>
                    <w:rStyle w:val="Heading1Char"/>
                    <w:sz w:val="28"/>
                    <w:szCs w:val="28"/>
                  </w:rPr>
                  <w:t>I</w:t>
                </w:r>
                <w:r w:rsidR="00502322">
                  <w:rPr>
                    <w:rStyle w:val="Heading1Char"/>
                    <w:sz w:val="28"/>
                    <w:szCs w:val="28"/>
                  </w:rPr>
                  <w:t>DATION</w:t>
                </w:r>
                <w:r w:rsidR="00E17DDC">
                  <w:rPr>
                    <w:rStyle w:val="Heading1Char"/>
                  </w:rPr>
                  <w:t xml:space="preserve"> </w:t>
                </w:r>
              </w:p>
            </w:tc>
          </w:tr>
        </w:sdtContent>
      </w:sdt>
      <w:sdt>
        <w:sdtPr>
          <w:rPr>
            <w:rFonts w:eastAsiaTheme="majorEastAsia" w:cstheme="majorBidi"/>
            <w:b/>
            <w:color w:val="000000" w:themeColor="text1"/>
            <w:szCs w:val="32"/>
          </w:rPr>
          <w:alias w:val="Nama Penulis"/>
          <w:tag w:val="Nama Penulis"/>
          <w:id w:val="-1090227560"/>
          <w:placeholder>
            <w:docPart w:val="82E997A4F31E41B2B98A351F30460FCF"/>
          </w:placeholder>
        </w:sdtPr>
        <w:sdtEndPr>
          <w:rPr>
            <w:rStyle w:val="PlaceholderText"/>
          </w:rPr>
        </w:sdtEndPr>
        <w:sdtContent>
          <w:tr w:rsidR="001B72FC">
            <w:tc>
              <w:tcPr>
                <w:tcW w:w="9062" w:type="dxa"/>
                <w:tcMar>
                  <w:left w:w="0" w:type="dxa"/>
                  <w:right w:w="0" w:type="dxa"/>
                </w:tcMar>
              </w:tcPr>
              <w:p w:rsidR="001B72FC" w:rsidRPr="00103EAB" w:rsidRDefault="00F87AFD" w:rsidP="00632C2E">
                <w:pPr>
                  <w:spacing w:after="120" w:line="240" w:lineRule="auto"/>
                  <w:jc w:val="center"/>
                  <w:rPr>
                    <w:rStyle w:val="Heading1Char"/>
                    <w:color w:val="000000" w:themeColor="text1"/>
                  </w:rPr>
                </w:pPr>
                <w:r w:rsidRPr="00103EAB">
                  <w:rPr>
                    <w:rStyle w:val="PlaceholderText"/>
                    <w:color w:val="000000" w:themeColor="text1"/>
                  </w:rPr>
                  <w:t>A</w:t>
                </w:r>
                <w:r w:rsidR="00632C2E">
                  <w:rPr>
                    <w:rStyle w:val="PlaceholderText"/>
                    <w:color w:val="000000" w:themeColor="text1"/>
                  </w:rPr>
                  <w:t>dya M</w:t>
                </w:r>
                <w:r w:rsidRPr="00103EAB">
                  <w:rPr>
                    <w:rStyle w:val="PlaceholderText"/>
                    <w:color w:val="000000" w:themeColor="text1"/>
                  </w:rPr>
                  <w:t>u</w:t>
                </w:r>
                <w:r w:rsidR="00632C2E">
                  <w:rPr>
                    <w:rStyle w:val="PlaceholderText"/>
                    <w:color w:val="000000" w:themeColor="text1"/>
                  </w:rPr>
                  <w:t>s</w:t>
                </w:r>
                <w:r w:rsidRPr="00103EAB">
                  <w:rPr>
                    <w:rStyle w:val="PlaceholderText"/>
                    <w:color w:val="000000" w:themeColor="text1"/>
                  </w:rPr>
                  <w:t>t</w:t>
                </w:r>
                <w:r w:rsidR="00632C2E">
                  <w:rPr>
                    <w:rStyle w:val="PlaceholderText"/>
                    <w:color w:val="000000" w:themeColor="text1"/>
                  </w:rPr>
                  <w:t>ika Sa</w:t>
                </w:r>
                <w:r w:rsidRPr="00103EAB">
                  <w:rPr>
                    <w:rStyle w:val="PlaceholderText"/>
                    <w:color w:val="000000" w:themeColor="text1"/>
                  </w:rPr>
                  <w:t>r</w:t>
                </w:r>
                <w:r w:rsidR="00632C2E">
                  <w:rPr>
                    <w:rStyle w:val="PlaceholderText"/>
                    <w:color w:val="000000" w:themeColor="text1"/>
                  </w:rPr>
                  <w:t>i</w:t>
                </w:r>
                <w:r w:rsidRPr="00103EAB">
                  <w:rPr>
                    <w:rStyle w:val="PlaceholderText"/>
                    <w:color w:val="000000" w:themeColor="text1"/>
                    <w:vertAlign w:val="superscript"/>
                  </w:rPr>
                  <w:t>1</w:t>
                </w:r>
                <w:r w:rsidRPr="00103EAB">
                  <w:rPr>
                    <w:rStyle w:val="PlaceholderText"/>
                    <w:color w:val="000000" w:themeColor="text1"/>
                  </w:rPr>
                  <w:t>, S</w:t>
                </w:r>
                <w:r w:rsidR="00632C2E">
                  <w:rPr>
                    <w:rStyle w:val="PlaceholderText"/>
                    <w:color w:val="000000" w:themeColor="text1"/>
                  </w:rPr>
                  <w:t>yafriani</w:t>
                </w:r>
                <w:r w:rsidR="001879FA">
                  <w:rPr>
                    <w:rStyle w:val="PlaceholderText"/>
                    <w:color w:val="000000" w:themeColor="text1"/>
                    <w:vertAlign w:val="superscript"/>
                  </w:rPr>
                  <w:t>1</w:t>
                </w:r>
                <w:r w:rsidR="00632C2E">
                  <w:rPr>
                    <w:rStyle w:val="PlaceholderText"/>
                    <w:color w:val="000000" w:themeColor="text1"/>
                  </w:rPr>
                  <w:t>*</w:t>
                </w:r>
                <w:r w:rsidR="00E470F5">
                  <w:rPr>
                    <w:rStyle w:val="PlaceholderText"/>
                    <w:color w:val="000000" w:themeColor="text1"/>
                  </w:rPr>
                  <w:t xml:space="preserve">, </w:t>
                </w:r>
                <w:proofErr w:type="spellStart"/>
                <w:r w:rsidR="00E470F5">
                  <w:rPr>
                    <w:rStyle w:val="PlaceholderText"/>
                    <w:color w:val="000000" w:themeColor="text1"/>
                  </w:rPr>
                  <w:t>Fajri</w:t>
                </w:r>
                <w:proofErr w:type="spellEnd"/>
                <w:r w:rsidR="00E470F5">
                  <w:rPr>
                    <w:rStyle w:val="PlaceholderText"/>
                    <w:color w:val="000000" w:themeColor="text1"/>
                  </w:rPr>
                  <w:t xml:space="preserve"> </w:t>
                </w:r>
                <w:proofErr w:type="spellStart"/>
                <w:r w:rsidR="00E470F5">
                  <w:rPr>
                    <w:rStyle w:val="PlaceholderText"/>
                    <w:color w:val="000000" w:themeColor="text1"/>
                  </w:rPr>
                  <w:t>Syukur</w:t>
                </w:r>
                <w:proofErr w:type="spellEnd"/>
                <w:r w:rsidR="00E470F5">
                  <w:rPr>
                    <w:rStyle w:val="PlaceholderText"/>
                    <w:color w:val="000000" w:themeColor="text1"/>
                  </w:rPr>
                  <w:t xml:space="preserve"> Rahmatullah</w:t>
                </w:r>
                <w:r w:rsidR="00103EAB">
                  <w:rPr>
                    <w:rStyle w:val="PlaceholderText"/>
                    <w:color w:val="000000" w:themeColor="text1"/>
                    <w:vertAlign w:val="superscript"/>
                  </w:rPr>
                  <w:t>2</w:t>
                </w:r>
              </w:p>
            </w:tc>
          </w:tr>
        </w:sdtContent>
      </w:sdt>
      <w:tr w:rsidR="001B72FC">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1B72FC" w:rsidRPr="00103EAB">
              <w:tc>
                <w:tcPr>
                  <w:tcW w:w="9062" w:type="dxa"/>
                  <w:gridSpan w:val="2"/>
                  <w:tcMar>
                    <w:left w:w="0" w:type="dxa"/>
                    <w:right w:w="0" w:type="dxa"/>
                  </w:tcMar>
                </w:tcPr>
                <w:p w:rsidR="001B72FC" w:rsidRPr="00103EAB" w:rsidRDefault="00F87AFD">
                  <w:pPr>
                    <w:spacing w:after="0" w:line="240" w:lineRule="auto"/>
                    <w:jc w:val="center"/>
                    <w:rPr>
                      <w:color w:val="000000" w:themeColor="text1"/>
                      <w:sz w:val="20"/>
                      <w:szCs w:val="20"/>
                    </w:rPr>
                  </w:pPr>
                  <w:r w:rsidRPr="00103EAB">
                    <w:rPr>
                      <w:color w:val="000000" w:themeColor="text1"/>
                      <w:sz w:val="20"/>
                      <w:szCs w:val="20"/>
                      <w:vertAlign w:val="superscript"/>
                    </w:rPr>
                    <w:t xml:space="preserve">1 </w:t>
                  </w:r>
                  <w:sdt>
                    <w:sdtPr>
                      <w:rPr>
                        <w:color w:val="000000" w:themeColor="text1"/>
                        <w:sz w:val="20"/>
                        <w:szCs w:val="20"/>
                      </w:rPr>
                      <w:alias w:val="Afiliasi"/>
                      <w:tag w:val="Afiliasi"/>
                      <w:id w:val="936337078"/>
                      <w:placeholder>
                        <w:docPart w:val="AF0A383CCDB546448C7A36101409023D"/>
                      </w:placeholder>
                      <w:text/>
                    </w:sdtPr>
                    <w:sdtEndPr>
                      <w:rPr>
                        <w:rStyle w:val="PlaceholderText"/>
                      </w:rPr>
                    </w:sdtEndPr>
                    <w:sdtContent>
                      <w:r w:rsidRPr="00103EAB">
                        <w:rPr>
                          <w:rStyle w:val="PlaceholderText"/>
                          <w:i/>
                          <w:iCs/>
                          <w:color w:val="000000" w:themeColor="text1"/>
                          <w:sz w:val="20"/>
                          <w:szCs w:val="20"/>
                        </w:rPr>
                        <w:t>Department</w:t>
                      </w:r>
                      <w:r w:rsidR="00632C2E">
                        <w:rPr>
                          <w:rStyle w:val="PlaceholderText"/>
                          <w:i/>
                          <w:iCs/>
                          <w:color w:val="000000" w:themeColor="text1"/>
                          <w:sz w:val="20"/>
                          <w:szCs w:val="20"/>
                        </w:rPr>
                        <w:t xml:space="preserve"> of Physics, </w:t>
                      </w:r>
                      <w:proofErr w:type="spellStart"/>
                      <w:r w:rsidR="00632C2E">
                        <w:rPr>
                          <w:rStyle w:val="PlaceholderText"/>
                          <w:i/>
                          <w:iCs/>
                          <w:color w:val="000000" w:themeColor="text1"/>
                          <w:sz w:val="20"/>
                          <w:szCs w:val="20"/>
                        </w:rPr>
                        <w:t>Universitas</w:t>
                      </w:r>
                      <w:proofErr w:type="spellEnd"/>
                      <w:r w:rsidR="00632C2E">
                        <w:rPr>
                          <w:rStyle w:val="PlaceholderText"/>
                          <w:i/>
                          <w:iCs/>
                          <w:color w:val="000000" w:themeColor="text1"/>
                          <w:sz w:val="20"/>
                          <w:szCs w:val="20"/>
                        </w:rPr>
                        <w:t xml:space="preserve"> </w:t>
                      </w:r>
                      <w:proofErr w:type="spellStart"/>
                      <w:r w:rsidR="00632C2E">
                        <w:rPr>
                          <w:rStyle w:val="PlaceholderText"/>
                          <w:i/>
                          <w:iCs/>
                          <w:color w:val="000000" w:themeColor="text1"/>
                          <w:sz w:val="20"/>
                          <w:szCs w:val="20"/>
                        </w:rPr>
                        <w:t>Negeri</w:t>
                      </w:r>
                      <w:proofErr w:type="spellEnd"/>
                      <w:r w:rsidR="00632C2E">
                        <w:rPr>
                          <w:rStyle w:val="PlaceholderText"/>
                          <w:i/>
                          <w:iCs/>
                          <w:color w:val="000000" w:themeColor="text1"/>
                          <w:sz w:val="20"/>
                          <w:szCs w:val="20"/>
                        </w:rPr>
                        <w:t xml:space="preserve"> Padang</w:t>
                      </w:r>
                      <w:r w:rsidRPr="00103EAB">
                        <w:rPr>
                          <w:rStyle w:val="PlaceholderText"/>
                          <w:i/>
                          <w:iCs/>
                          <w:color w:val="000000" w:themeColor="text1"/>
                          <w:sz w:val="20"/>
                          <w:szCs w:val="20"/>
                        </w:rPr>
                        <w:t xml:space="preserve">, </w:t>
                      </w:r>
                      <w:proofErr w:type="spellStart"/>
                      <w:r w:rsidR="00632C2E">
                        <w:rPr>
                          <w:rStyle w:val="PlaceholderText"/>
                          <w:i/>
                          <w:iCs/>
                          <w:color w:val="000000" w:themeColor="text1"/>
                          <w:sz w:val="20"/>
                          <w:szCs w:val="20"/>
                        </w:rPr>
                        <w:t>Jalan</w:t>
                      </w:r>
                      <w:proofErr w:type="spellEnd"/>
                      <w:r w:rsidR="00632C2E">
                        <w:rPr>
                          <w:rStyle w:val="PlaceholderText"/>
                          <w:i/>
                          <w:iCs/>
                          <w:color w:val="000000" w:themeColor="text1"/>
                          <w:sz w:val="20"/>
                          <w:szCs w:val="20"/>
                        </w:rPr>
                        <w:t xml:space="preserve"> Prof. Dr. </w:t>
                      </w:r>
                      <w:proofErr w:type="spellStart"/>
                      <w:r w:rsidR="00632C2E">
                        <w:rPr>
                          <w:rStyle w:val="PlaceholderText"/>
                          <w:i/>
                          <w:iCs/>
                          <w:color w:val="000000" w:themeColor="text1"/>
                          <w:sz w:val="20"/>
                          <w:szCs w:val="20"/>
                        </w:rPr>
                        <w:t>Hamka</w:t>
                      </w:r>
                      <w:proofErr w:type="spellEnd"/>
                      <w:r w:rsidR="00632C2E">
                        <w:rPr>
                          <w:rStyle w:val="PlaceholderText"/>
                          <w:i/>
                          <w:iCs/>
                          <w:color w:val="000000" w:themeColor="text1"/>
                          <w:sz w:val="20"/>
                          <w:szCs w:val="20"/>
                        </w:rPr>
                        <w:t xml:space="preserve"> Air </w:t>
                      </w:r>
                      <w:proofErr w:type="spellStart"/>
                      <w:r w:rsidR="00632C2E">
                        <w:rPr>
                          <w:rStyle w:val="PlaceholderText"/>
                          <w:i/>
                          <w:iCs/>
                          <w:color w:val="000000" w:themeColor="text1"/>
                          <w:sz w:val="20"/>
                          <w:szCs w:val="20"/>
                        </w:rPr>
                        <w:t>Tawar</w:t>
                      </w:r>
                      <w:proofErr w:type="spellEnd"/>
                      <w:r w:rsidR="00632C2E">
                        <w:rPr>
                          <w:rStyle w:val="PlaceholderText"/>
                          <w:i/>
                          <w:iCs/>
                          <w:color w:val="000000" w:themeColor="text1"/>
                          <w:sz w:val="20"/>
                          <w:szCs w:val="20"/>
                        </w:rPr>
                        <w:t xml:space="preserve"> Barat</w:t>
                      </w:r>
                      <w:r w:rsidRPr="00103EAB">
                        <w:rPr>
                          <w:rStyle w:val="PlaceholderText"/>
                          <w:i/>
                          <w:iCs/>
                          <w:color w:val="000000" w:themeColor="text1"/>
                          <w:sz w:val="20"/>
                          <w:szCs w:val="20"/>
                        </w:rPr>
                        <w:t xml:space="preserve">, </w:t>
                      </w:r>
                      <w:r w:rsidR="00632C2E">
                        <w:rPr>
                          <w:rStyle w:val="PlaceholderText"/>
                          <w:i/>
                          <w:iCs/>
                          <w:color w:val="000000" w:themeColor="text1"/>
                          <w:sz w:val="20"/>
                          <w:szCs w:val="20"/>
                        </w:rPr>
                        <w:t>Padang, 25171, Indonesia</w:t>
                      </w:r>
                      <w:r w:rsidRPr="00103EAB">
                        <w:rPr>
                          <w:rStyle w:val="PlaceholderText"/>
                          <w:i/>
                          <w:iCs/>
                          <w:color w:val="000000" w:themeColor="text1"/>
                          <w:sz w:val="20"/>
                          <w:szCs w:val="20"/>
                        </w:rPr>
                        <w:t xml:space="preserve">   </w:t>
                      </w:r>
                    </w:sdtContent>
                  </w:sdt>
                </w:p>
                <w:p w:rsidR="001B72FC" w:rsidRPr="00103EAB" w:rsidRDefault="00F87AFD">
                  <w:pPr>
                    <w:spacing w:after="120" w:line="240" w:lineRule="auto"/>
                    <w:jc w:val="center"/>
                    <w:rPr>
                      <w:i/>
                      <w:iCs/>
                      <w:color w:val="000000" w:themeColor="text1"/>
                    </w:rPr>
                  </w:pPr>
                  <w:r w:rsidRPr="00103EAB">
                    <w:rPr>
                      <w:color w:val="000000" w:themeColor="text1"/>
                      <w:sz w:val="20"/>
                      <w:szCs w:val="20"/>
                      <w:vertAlign w:val="superscript"/>
                    </w:rPr>
                    <w:t>2</w:t>
                  </w:r>
                  <w:r w:rsidRPr="00103EAB">
                    <w:rPr>
                      <w:color w:val="000000" w:themeColor="text1"/>
                      <w:sz w:val="20"/>
                      <w:szCs w:val="20"/>
                    </w:rPr>
                    <w:t xml:space="preserve"> </w:t>
                  </w:r>
                  <w:sdt>
                    <w:sdtPr>
                      <w:rPr>
                        <w:color w:val="000000" w:themeColor="text1"/>
                        <w:sz w:val="20"/>
                        <w:szCs w:val="20"/>
                      </w:rPr>
                      <w:alias w:val="Afiliasi"/>
                      <w:tag w:val="Afiliasi"/>
                      <w:id w:val="-238559888"/>
                      <w:placeholder>
                        <w:docPart w:val="FF44653BF0934E90A59360328AAFAD50"/>
                      </w:placeholder>
                      <w:text/>
                    </w:sdtPr>
                    <w:sdtEndPr>
                      <w:rPr>
                        <w:i/>
                        <w:iCs/>
                        <w:sz w:val="24"/>
                        <w:szCs w:val="22"/>
                      </w:rPr>
                    </w:sdtEndPr>
                    <w:sdtContent>
                      <w:proofErr w:type="spellStart"/>
                      <w:r w:rsidR="00E470F5">
                        <w:rPr>
                          <w:i/>
                          <w:iCs/>
                          <w:color w:val="000000" w:themeColor="text1"/>
                          <w:sz w:val="20"/>
                          <w:szCs w:val="20"/>
                        </w:rPr>
                        <w:t>Badan</w:t>
                      </w:r>
                      <w:proofErr w:type="spellEnd"/>
                      <w:r w:rsidR="00E470F5">
                        <w:rPr>
                          <w:i/>
                          <w:iCs/>
                          <w:color w:val="000000" w:themeColor="text1"/>
                          <w:sz w:val="20"/>
                          <w:szCs w:val="20"/>
                        </w:rPr>
                        <w:t xml:space="preserve"> </w:t>
                      </w:r>
                      <w:proofErr w:type="spellStart"/>
                      <w:r w:rsidR="00E470F5">
                        <w:rPr>
                          <w:i/>
                          <w:iCs/>
                          <w:color w:val="000000" w:themeColor="text1"/>
                          <w:sz w:val="20"/>
                          <w:szCs w:val="20"/>
                        </w:rPr>
                        <w:t>Meteo</w:t>
                      </w:r>
                      <w:r w:rsidR="003047F0">
                        <w:rPr>
                          <w:i/>
                          <w:iCs/>
                          <w:color w:val="000000" w:themeColor="text1"/>
                          <w:sz w:val="20"/>
                          <w:szCs w:val="20"/>
                        </w:rPr>
                        <w:t>rologi</w:t>
                      </w:r>
                      <w:proofErr w:type="spellEnd"/>
                      <w:r w:rsidR="003047F0">
                        <w:rPr>
                          <w:i/>
                          <w:iCs/>
                          <w:color w:val="000000" w:themeColor="text1"/>
                          <w:sz w:val="20"/>
                          <w:szCs w:val="20"/>
                        </w:rPr>
                        <w:t xml:space="preserve"> </w:t>
                      </w:r>
                      <w:proofErr w:type="spellStart"/>
                      <w:r w:rsidR="003047F0">
                        <w:rPr>
                          <w:i/>
                          <w:iCs/>
                          <w:color w:val="000000" w:themeColor="text1"/>
                          <w:sz w:val="20"/>
                          <w:szCs w:val="20"/>
                        </w:rPr>
                        <w:t>Klimatologi</w:t>
                      </w:r>
                      <w:proofErr w:type="spellEnd"/>
                      <w:r w:rsidR="003047F0">
                        <w:rPr>
                          <w:i/>
                          <w:iCs/>
                          <w:color w:val="000000" w:themeColor="text1"/>
                          <w:sz w:val="20"/>
                          <w:szCs w:val="20"/>
                        </w:rPr>
                        <w:t xml:space="preserve"> </w:t>
                      </w:r>
                      <w:proofErr w:type="spellStart"/>
                      <w:r w:rsidR="003047F0">
                        <w:rPr>
                          <w:i/>
                          <w:iCs/>
                          <w:color w:val="000000" w:themeColor="text1"/>
                          <w:sz w:val="20"/>
                          <w:szCs w:val="20"/>
                        </w:rPr>
                        <w:t>dan</w:t>
                      </w:r>
                      <w:proofErr w:type="spellEnd"/>
                      <w:r w:rsidR="003047F0">
                        <w:rPr>
                          <w:i/>
                          <w:iCs/>
                          <w:color w:val="000000" w:themeColor="text1"/>
                          <w:sz w:val="20"/>
                          <w:szCs w:val="20"/>
                        </w:rPr>
                        <w:t xml:space="preserve"> </w:t>
                      </w:r>
                      <w:proofErr w:type="spellStart"/>
                      <w:r w:rsidR="003047F0">
                        <w:rPr>
                          <w:i/>
                          <w:iCs/>
                          <w:color w:val="000000" w:themeColor="text1"/>
                          <w:sz w:val="20"/>
                          <w:szCs w:val="20"/>
                        </w:rPr>
                        <w:t>Geofisika</w:t>
                      </w:r>
                      <w:proofErr w:type="spellEnd"/>
                      <w:r w:rsidR="003047F0">
                        <w:rPr>
                          <w:i/>
                          <w:iCs/>
                          <w:color w:val="000000" w:themeColor="text1"/>
                          <w:sz w:val="20"/>
                          <w:szCs w:val="20"/>
                        </w:rPr>
                        <w:t xml:space="preserve">, </w:t>
                      </w:r>
                      <w:proofErr w:type="spellStart"/>
                      <w:r w:rsidR="003047F0">
                        <w:rPr>
                          <w:i/>
                          <w:iCs/>
                          <w:color w:val="000000" w:themeColor="text1"/>
                          <w:sz w:val="20"/>
                          <w:szCs w:val="20"/>
                        </w:rPr>
                        <w:t>Jalan</w:t>
                      </w:r>
                      <w:proofErr w:type="spellEnd"/>
                      <w:r w:rsidR="003047F0">
                        <w:rPr>
                          <w:i/>
                          <w:iCs/>
                          <w:color w:val="000000" w:themeColor="text1"/>
                          <w:sz w:val="20"/>
                          <w:szCs w:val="20"/>
                        </w:rPr>
                        <w:t xml:space="preserve"> </w:t>
                      </w:r>
                      <w:proofErr w:type="spellStart"/>
                      <w:r w:rsidR="003047F0">
                        <w:rPr>
                          <w:i/>
                          <w:iCs/>
                          <w:color w:val="000000" w:themeColor="text1"/>
                          <w:sz w:val="20"/>
                          <w:szCs w:val="20"/>
                        </w:rPr>
                        <w:t>Angkasa</w:t>
                      </w:r>
                      <w:proofErr w:type="spellEnd"/>
                      <w:r w:rsidR="003047F0">
                        <w:rPr>
                          <w:i/>
                          <w:iCs/>
                          <w:color w:val="000000" w:themeColor="text1"/>
                          <w:sz w:val="20"/>
                          <w:szCs w:val="20"/>
                        </w:rPr>
                        <w:t xml:space="preserve"> 1 No.2, </w:t>
                      </w:r>
                      <w:proofErr w:type="spellStart"/>
                      <w:r w:rsidR="003047F0">
                        <w:rPr>
                          <w:i/>
                          <w:iCs/>
                          <w:color w:val="000000" w:themeColor="text1"/>
                          <w:sz w:val="20"/>
                          <w:szCs w:val="20"/>
                        </w:rPr>
                        <w:t>Kemayoran</w:t>
                      </w:r>
                      <w:proofErr w:type="spellEnd"/>
                      <w:r w:rsidR="003047F0">
                        <w:rPr>
                          <w:i/>
                          <w:iCs/>
                          <w:color w:val="000000" w:themeColor="text1"/>
                          <w:sz w:val="20"/>
                          <w:szCs w:val="20"/>
                        </w:rPr>
                        <w:t xml:space="preserve">, Jakarta </w:t>
                      </w:r>
                      <w:proofErr w:type="spellStart"/>
                      <w:r w:rsidR="003047F0">
                        <w:rPr>
                          <w:i/>
                          <w:iCs/>
                          <w:color w:val="000000" w:themeColor="text1"/>
                          <w:sz w:val="20"/>
                          <w:szCs w:val="20"/>
                        </w:rPr>
                        <w:t>Pusat</w:t>
                      </w:r>
                      <w:proofErr w:type="spellEnd"/>
                      <w:r w:rsidR="003047F0">
                        <w:rPr>
                          <w:i/>
                          <w:iCs/>
                          <w:color w:val="000000" w:themeColor="text1"/>
                          <w:sz w:val="20"/>
                          <w:szCs w:val="20"/>
                        </w:rPr>
                        <w:t>, 10610, Indonesia</w:t>
                      </w:r>
                    </w:sdtContent>
                  </w:sdt>
                </w:p>
                <w:p w:rsidR="001B72FC" w:rsidRPr="00103EAB" w:rsidRDefault="00E0246B">
                  <w:pPr>
                    <w:spacing w:after="240" w:line="240" w:lineRule="auto"/>
                    <w:jc w:val="center"/>
                    <w:rPr>
                      <w:color w:val="000000" w:themeColor="text1"/>
                    </w:rPr>
                  </w:pPr>
                  <w:sdt>
                    <w:sdtPr>
                      <w:rPr>
                        <w:color w:val="000000" w:themeColor="text1"/>
                      </w:rPr>
                      <w:alias w:val="Correspoding author"/>
                      <w:tag w:val="Correspoding author"/>
                      <w:id w:val="-1090005797"/>
                      <w:lock w:val="sdtContentLocked"/>
                      <w:placeholder>
                        <w:docPart w:val="743E3290A115473AA83D262F6086E6A7"/>
                      </w:placeholder>
                      <w:text/>
                    </w:sdtPr>
                    <w:sdtEndPr/>
                    <w:sdtContent>
                      <w:r w:rsidR="00F87AFD" w:rsidRPr="00103EAB">
                        <w:rPr>
                          <w:i/>
                          <w:iCs/>
                          <w:color w:val="000000" w:themeColor="text1"/>
                          <w:sz w:val="20"/>
                          <w:szCs w:val="18"/>
                        </w:rPr>
                        <w:t>Corresponding author. Email:</w:t>
                      </w:r>
                    </w:sdtContent>
                  </w:sdt>
                  <w:r w:rsidR="00F87AFD" w:rsidRPr="00103EAB">
                    <w:rPr>
                      <w:color w:val="000000" w:themeColor="text1"/>
                      <w:sz w:val="20"/>
                      <w:szCs w:val="18"/>
                    </w:rPr>
                    <w:t xml:space="preserve"> </w:t>
                  </w:r>
                  <w:sdt>
                    <w:sdtPr>
                      <w:rPr>
                        <w:color w:val="000000" w:themeColor="text1"/>
                        <w:sz w:val="20"/>
                        <w:szCs w:val="18"/>
                      </w:rPr>
                      <w:id w:val="1125128392"/>
                      <w:placeholder>
                        <w:docPart w:val="7C573EFC9622459F8DCFBA9072671252"/>
                      </w:placeholder>
                      <w:text/>
                    </w:sdtPr>
                    <w:sdtEndPr>
                      <w:rPr>
                        <w:i/>
                        <w:iCs/>
                        <w:sz w:val="24"/>
                        <w:szCs w:val="22"/>
                      </w:rPr>
                    </w:sdtEndPr>
                    <w:sdtContent>
                      <w:r w:rsidR="00EE4B3F">
                        <w:rPr>
                          <w:i/>
                          <w:iCs/>
                          <w:color w:val="000000" w:themeColor="text1"/>
                          <w:sz w:val="20"/>
                          <w:szCs w:val="18"/>
                        </w:rPr>
                        <w:t>syafri@fmipa.unp.ac.id</w:t>
                      </w:r>
                    </w:sdtContent>
                  </w:sdt>
                  <w:r w:rsidR="00F87AFD" w:rsidRPr="00103EAB">
                    <w:rPr>
                      <w:i/>
                      <w:iCs/>
                      <w:color w:val="000000" w:themeColor="text1"/>
                    </w:rPr>
                    <w:t xml:space="preserve"> </w:t>
                  </w:r>
                  <w:r w:rsidR="00F87AFD" w:rsidRPr="00103EAB">
                    <w:rPr>
                      <w:color w:val="000000" w:themeColor="text1"/>
                    </w:rPr>
                    <w:t xml:space="preserve">  </w:t>
                  </w:r>
                </w:p>
              </w:tc>
            </w:tr>
            <w:tr w:rsidR="001B72FC" w:rsidRPr="00103EAB">
              <w:tc>
                <w:tcPr>
                  <w:tcW w:w="9062" w:type="dxa"/>
                  <w:gridSpan w:val="2"/>
                  <w:tcMar>
                    <w:left w:w="0" w:type="dxa"/>
                    <w:right w:w="0" w:type="dxa"/>
                  </w:tcMar>
                </w:tcPr>
                <w:p w:rsidR="001B72FC" w:rsidRPr="00103EAB" w:rsidRDefault="00E0246B">
                  <w:pPr>
                    <w:spacing w:before="240" w:after="120" w:line="240" w:lineRule="auto"/>
                    <w:jc w:val="center"/>
                    <w:rPr>
                      <w:b/>
                      <w:color w:val="000000" w:themeColor="text1"/>
                    </w:rPr>
                  </w:pPr>
                  <w:sdt>
                    <w:sdtPr>
                      <w:rPr>
                        <w:b/>
                        <w:color w:val="000000" w:themeColor="text1"/>
                        <w:sz w:val="20"/>
                      </w:rPr>
                      <w:id w:val="5641261"/>
                      <w:lock w:val="sdtContentLocked"/>
                      <w:placeholder>
                        <w:docPart w:val="D2D63F56E4424C87865E3B2BA607263E"/>
                      </w:placeholder>
                      <w:date>
                        <w:dateFormat w:val="M/d/yyyy"/>
                        <w:lid w:val="en-US"/>
                        <w:storeMappedDataAs w:val="dateTime"/>
                        <w:calendar w:val="gregorian"/>
                      </w:date>
                    </w:sdtPr>
                    <w:sdtEndPr/>
                    <w:sdtContent>
                      <w:r w:rsidR="00F87AFD" w:rsidRPr="00103EAB">
                        <w:rPr>
                          <w:b/>
                          <w:color w:val="000000" w:themeColor="text1"/>
                          <w:sz w:val="20"/>
                        </w:rPr>
                        <w:t>ABSTRACT</w:t>
                      </w:r>
                    </w:sdtContent>
                  </w:sdt>
                </w:p>
              </w:tc>
            </w:tr>
            <w:sdt>
              <w:sdtPr>
                <w:rPr>
                  <w:rStyle w:val="Style2"/>
                  <w:color w:val="000000" w:themeColor="text1"/>
                </w:rPr>
                <w:alias w:val="Abstract"/>
                <w:tag w:val="isikan Abstract anda"/>
                <w:id w:val="3541255"/>
                <w:lock w:val="sdtLocked"/>
                <w:placeholder>
                  <w:docPart w:val="D2D2DCFE32124CA29B3F34DC6BCF76BC"/>
                </w:placeholder>
              </w:sdtPr>
              <w:sdtEndPr>
                <w:rPr>
                  <w:rStyle w:val="DefaultParagraphFont"/>
                  <w:rFonts w:cs="Times New Roman"/>
                  <w:b/>
                  <w:i/>
                  <w:iCs/>
                  <w:sz w:val="24"/>
                  <w:szCs w:val="20"/>
                </w:rPr>
              </w:sdtEndPr>
              <w:sdtContent>
                <w:tr w:rsidR="001B72FC" w:rsidRPr="00103EAB">
                  <w:tc>
                    <w:tcPr>
                      <w:tcW w:w="9062" w:type="dxa"/>
                      <w:gridSpan w:val="2"/>
                      <w:tcMar>
                        <w:left w:w="0" w:type="dxa"/>
                        <w:right w:w="0" w:type="dxa"/>
                      </w:tcMar>
                    </w:tcPr>
                    <w:p w:rsidR="001B72FC" w:rsidRPr="00103EAB" w:rsidRDefault="00364EBA" w:rsidP="00721069">
                      <w:pPr>
                        <w:spacing w:after="0" w:line="240" w:lineRule="auto"/>
                        <w:ind w:firstLine="567"/>
                        <w:jc w:val="both"/>
                        <w:rPr>
                          <w:b/>
                          <w:color w:val="000000" w:themeColor="text1"/>
                          <w:sz w:val="20"/>
                        </w:rPr>
                      </w:pPr>
                      <w:r>
                        <w:rPr>
                          <w:i/>
                          <w:color w:val="000000"/>
                          <w:sz w:val="20"/>
                          <w:szCs w:val="20"/>
                        </w:rPr>
                        <w:t xml:space="preserve">The city of Padang is an area severely affected by the earthquake that occurred in the </w:t>
                      </w:r>
                      <w:proofErr w:type="spellStart"/>
                      <w:r>
                        <w:rPr>
                          <w:i/>
                          <w:color w:val="000000"/>
                          <w:sz w:val="20"/>
                          <w:szCs w:val="20"/>
                        </w:rPr>
                        <w:t>Subduction</w:t>
                      </w:r>
                      <w:proofErr w:type="spellEnd"/>
                      <w:r>
                        <w:rPr>
                          <w:i/>
                          <w:color w:val="000000"/>
                          <w:sz w:val="20"/>
                          <w:szCs w:val="20"/>
                        </w:rPr>
                        <w:t xml:space="preserve"> zone. Earthquakes with large magnitudes greatly affect the damage to buildings, one of the factors that can determine the size of the damage is the peak ground acceleration. The peak ground acceleration and earthquake intensity in Padang City can be calculated using an empirical formula. The research area is on the grid with a distance of 0</w:t>
                      </w:r>
                      <w:proofErr w:type="gramStart"/>
                      <w:r>
                        <w:rPr>
                          <w:i/>
                          <w:color w:val="000000"/>
                          <w:sz w:val="20"/>
                          <w:szCs w:val="20"/>
                        </w:rPr>
                        <w:t>,02</w:t>
                      </w:r>
                      <w:proofErr w:type="gramEnd"/>
                      <w:r>
                        <w:rPr>
                          <w:rFonts w:ascii="Calibri" w:eastAsia="Calibri" w:hAnsi="Calibri" w:cs="Calibri"/>
                          <w:i/>
                          <w:color w:val="000000"/>
                          <w:sz w:val="20"/>
                          <w:szCs w:val="20"/>
                        </w:rPr>
                        <w:t>°</w:t>
                      </w:r>
                      <w:r>
                        <w:rPr>
                          <w:i/>
                          <w:color w:val="000000"/>
                          <w:sz w:val="20"/>
                          <w:szCs w:val="20"/>
                        </w:rPr>
                        <w:t xml:space="preserve">, in order to obtain 196 </w:t>
                      </w:r>
                      <w:r>
                        <w:rPr>
                          <w:i/>
                          <w:sz w:val="20"/>
                          <w:szCs w:val="20"/>
                        </w:rPr>
                        <w:t>calculation</w:t>
                      </w:r>
                      <w:r>
                        <w:rPr>
                          <w:i/>
                          <w:color w:val="000000"/>
                          <w:sz w:val="20"/>
                          <w:szCs w:val="20"/>
                        </w:rPr>
                        <w:t xml:space="preserve"> points. The empirical formula used is Mc. </w:t>
                      </w:r>
                      <w:proofErr w:type="spellStart"/>
                      <w:r>
                        <w:rPr>
                          <w:i/>
                          <w:color w:val="000000"/>
                          <w:sz w:val="20"/>
                          <w:szCs w:val="20"/>
                        </w:rPr>
                        <w:t>Guire</w:t>
                      </w:r>
                      <w:proofErr w:type="spellEnd"/>
                      <w:r>
                        <w:rPr>
                          <w:i/>
                          <w:color w:val="000000"/>
                          <w:sz w:val="20"/>
                          <w:szCs w:val="20"/>
                        </w:rPr>
                        <w:t xml:space="preserve">, Si and </w:t>
                      </w:r>
                      <w:proofErr w:type="spellStart"/>
                      <w:r>
                        <w:rPr>
                          <w:i/>
                          <w:color w:val="000000"/>
                          <w:sz w:val="20"/>
                          <w:szCs w:val="20"/>
                        </w:rPr>
                        <w:t>Midorikawa</w:t>
                      </w:r>
                      <w:proofErr w:type="spellEnd"/>
                      <w:r>
                        <w:rPr>
                          <w:i/>
                          <w:color w:val="000000"/>
                          <w:sz w:val="20"/>
                          <w:szCs w:val="20"/>
                        </w:rPr>
                        <w:t xml:space="preserve">, Fukushima-Tanaka, and Donovan which were validated with peak ground acceleration data from </w:t>
                      </w:r>
                      <w:proofErr w:type="spellStart"/>
                      <w:r>
                        <w:rPr>
                          <w:i/>
                          <w:color w:val="000000"/>
                          <w:sz w:val="20"/>
                          <w:szCs w:val="20"/>
                        </w:rPr>
                        <w:t>accelerographs</w:t>
                      </w:r>
                      <w:proofErr w:type="spellEnd"/>
                      <w:r>
                        <w:rPr>
                          <w:i/>
                          <w:color w:val="000000"/>
                          <w:sz w:val="20"/>
                          <w:szCs w:val="20"/>
                        </w:rPr>
                        <w:t xml:space="preserve"> so as to produce an appropriate empirical formula used to calculate the peak ground acce</w:t>
                      </w:r>
                      <w:r w:rsidR="006A596B">
                        <w:rPr>
                          <w:i/>
                          <w:color w:val="000000"/>
                          <w:sz w:val="20"/>
                          <w:szCs w:val="20"/>
                        </w:rPr>
                        <w:t>leration value in Padang City. From t</w:t>
                      </w:r>
                      <w:r>
                        <w:rPr>
                          <w:i/>
                          <w:color w:val="000000"/>
                          <w:sz w:val="20"/>
                          <w:szCs w:val="20"/>
                        </w:rPr>
                        <w:t xml:space="preserve">he validation </w:t>
                      </w:r>
                      <w:r w:rsidR="006A596B">
                        <w:rPr>
                          <w:i/>
                          <w:color w:val="000000"/>
                          <w:sz w:val="20"/>
                          <w:szCs w:val="20"/>
                        </w:rPr>
                        <w:t xml:space="preserve">process it was found </w:t>
                      </w:r>
                      <w:r>
                        <w:rPr>
                          <w:i/>
                          <w:color w:val="000000"/>
                          <w:sz w:val="20"/>
                          <w:szCs w:val="20"/>
                        </w:rPr>
                        <w:t xml:space="preserve">that the Fukushima-Tanaka formula is </w:t>
                      </w:r>
                      <w:r w:rsidR="00A27D32">
                        <w:rPr>
                          <w:i/>
                          <w:color w:val="000000"/>
                          <w:sz w:val="20"/>
                          <w:szCs w:val="20"/>
                        </w:rPr>
                        <w:t xml:space="preserve">the </w:t>
                      </w:r>
                      <w:r>
                        <w:rPr>
                          <w:i/>
                          <w:color w:val="000000"/>
                          <w:sz w:val="20"/>
                          <w:szCs w:val="20"/>
                        </w:rPr>
                        <w:t xml:space="preserve">appropriate </w:t>
                      </w:r>
                      <w:r w:rsidR="006A596B">
                        <w:rPr>
                          <w:i/>
                          <w:color w:val="000000"/>
                          <w:sz w:val="20"/>
                          <w:szCs w:val="20"/>
                        </w:rPr>
                        <w:t>formula used to calculate</w:t>
                      </w:r>
                      <w:r>
                        <w:rPr>
                          <w:i/>
                          <w:color w:val="000000"/>
                          <w:sz w:val="20"/>
                          <w:szCs w:val="20"/>
                        </w:rPr>
                        <w:t xml:space="preserve"> the peak ground acceleration value in</w:t>
                      </w:r>
                      <w:r w:rsidR="006A596B">
                        <w:rPr>
                          <w:i/>
                          <w:color w:val="000000"/>
                          <w:sz w:val="20"/>
                          <w:szCs w:val="20"/>
                        </w:rPr>
                        <w:t xml:space="preserve"> the city of</w:t>
                      </w:r>
                      <w:r>
                        <w:rPr>
                          <w:i/>
                          <w:color w:val="000000"/>
                          <w:sz w:val="20"/>
                          <w:szCs w:val="20"/>
                        </w:rPr>
                        <w:t xml:space="preserve"> Padang with the lowest average error percentage. The results of the calculation show that the highest peak ground acceleration value is in </w:t>
                      </w:r>
                      <w:proofErr w:type="spellStart"/>
                      <w:r>
                        <w:rPr>
                          <w:i/>
                          <w:color w:val="000000"/>
                          <w:sz w:val="20"/>
                          <w:szCs w:val="20"/>
                        </w:rPr>
                        <w:t>Bungus</w:t>
                      </w:r>
                      <w:proofErr w:type="spellEnd"/>
                      <w:r>
                        <w:rPr>
                          <w:i/>
                          <w:color w:val="000000"/>
                          <w:sz w:val="20"/>
                          <w:szCs w:val="20"/>
                        </w:rPr>
                        <w:t xml:space="preserve"> </w:t>
                      </w:r>
                      <w:proofErr w:type="spellStart"/>
                      <w:r>
                        <w:rPr>
                          <w:i/>
                          <w:color w:val="000000"/>
                          <w:sz w:val="20"/>
                          <w:szCs w:val="20"/>
                        </w:rPr>
                        <w:t>Teluk</w:t>
                      </w:r>
                      <w:proofErr w:type="spellEnd"/>
                      <w:r>
                        <w:rPr>
                          <w:i/>
                          <w:color w:val="000000"/>
                          <w:sz w:val="20"/>
                          <w:szCs w:val="20"/>
                        </w:rPr>
                        <w:t xml:space="preserve"> </w:t>
                      </w:r>
                      <w:proofErr w:type="spellStart"/>
                      <w:r>
                        <w:rPr>
                          <w:i/>
                          <w:color w:val="000000"/>
                          <w:sz w:val="20"/>
                          <w:szCs w:val="20"/>
                        </w:rPr>
                        <w:t>Kabung</w:t>
                      </w:r>
                      <w:proofErr w:type="spellEnd"/>
                      <w:r>
                        <w:rPr>
                          <w:i/>
                          <w:color w:val="000000"/>
                          <w:sz w:val="20"/>
                          <w:szCs w:val="20"/>
                        </w:rPr>
                        <w:t xml:space="preserve"> District, which is 69-73 gal, while the lowest peak ground acceleration value is in Koto </w:t>
                      </w:r>
                      <w:proofErr w:type="spellStart"/>
                      <w:r>
                        <w:rPr>
                          <w:i/>
                          <w:color w:val="000000"/>
                          <w:sz w:val="20"/>
                          <w:szCs w:val="20"/>
                        </w:rPr>
                        <w:t>Tangah</w:t>
                      </w:r>
                      <w:proofErr w:type="spellEnd"/>
                      <w:r>
                        <w:rPr>
                          <w:i/>
                          <w:color w:val="000000"/>
                          <w:sz w:val="20"/>
                          <w:szCs w:val="20"/>
                        </w:rPr>
                        <w:t xml:space="preserve"> District, which is 60-65,5 gal. </w:t>
                      </w:r>
                      <w:r w:rsidR="00721069">
                        <w:rPr>
                          <w:i/>
                          <w:color w:val="000000"/>
                          <w:sz w:val="20"/>
                          <w:szCs w:val="20"/>
                        </w:rPr>
                        <w:t>Based on t</w:t>
                      </w:r>
                      <w:r>
                        <w:rPr>
                          <w:i/>
                          <w:color w:val="000000"/>
                          <w:sz w:val="20"/>
                          <w:szCs w:val="20"/>
                        </w:rPr>
                        <w:t>he peak ground acceleration value</w:t>
                      </w:r>
                      <w:r w:rsidR="00721069">
                        <w:rPr>
                          <w:i/>
                          <w:color w:val="000000"/>
                          <w:sz w:val="20"/>
                          <w:szCs w:val="20"/>
                        </w:rPr>
                        <w:t>, it is known that the intensity of the earthquake in Padang City</w:t>
                      </w:r>
                      <w:r>
                        <w:rPr>
                          <w:i/>
                          <w:color w:val="000000"/>
                          <w:sz w:val="20"/>
                          <w:szCs w:val="20"/>
                        </w:rPr>
                        <w:t xml:space="preserve"> has a scale of VI MMI</w:t>
                      </w:r>
                      <w:r w:rsidR="00F12290">
                        <w:rPr>
                          <w:rStyle w:val="Style2"/>
                          <w:rFonts w:cs="Times New Roman"/>
                          <w:i/>
                          <w:iCs/>
                          <w:color w:val="000000" w:themeColor="text1"/>
                          <w:szCs w:val="20"/>
                        </w:rPr>
                        <w:t>.</w:t>
                      </w:r>
                    </w:p>
                  </w:tc>
                </w:tr>
              </w:sdtContent>
            </w:sdt>
            <w:tr w:rsidR="001B72FC" w:rsidRPr="00103EAB">
              <w:tc>
                <w:tcPr>
                  <w:tcW w:w="9062" w:type="dxa"/>
                  <w:gridSpan w:val="2"/>
                  <w:tcBorders>
                    <w:bottom w:val="nil"/>
                  </w:tcBorders>
                  <w:tcMar>
                    <w:left w:w="0" w:type="dxa"/>
                    <w:right w:w="0" w:type="dxa"/>
                  </w:tcMar>
                </w:tcPr>
                <w:p w:rsidR="001B72FC" w:rsidRPr="00103EAB" w:rsidRDefault="001B72FC">
                  <w:pPr>
                    <w:spacing w:after="0" w:line="240" w:lineRule="auto"/>
                    <w:rPr>
                      <w:b/>
                      <w:color w:val="000000" w:themeColor="text1"/>
                      <w:sz w:val="20"/>
                    </w:rPr>
                  </w:pPr>
                </w:p>
              </w:tc>
            </w:tr>
            <w:tr w:rsidR="001B72FC" w:rsidRPr="00103EAB">
              <w:tc>
                <w:tcPr>
                  <w:tcW w:w="9062" w:type="dxa"/>
                  <w:gridSpan w:val="2"/>
                  <w:tcBorders>
                    <w:bottom w:val="single" w:sz="4" w:space="0" w:color="auto"/>
                  </w:tcBorders>
                  <w:tcMar>
                    <w:left w:w="0" w:type="dxa"/>
                    <w:right w:w="0" w:type="dxa"/>
                  </w:tcMar>
                </w:tcPr>
                <w:p w:rsidR="001B72FC" w:rsidRPr="00103EAB" w:rsidRDefault="00F87AFD" w:rsidP="00FD5834">
                  <w:pPr>
                    <w:spacing w:after="0" w:line="240" w:lineRule="auto"/>
                    <w:rPr>
                      <w:b/>
                      <w:color w:val="000000" w:themeColor="text1"/>
                      <w:sz w:val="20"/>
                    </w:rPr>
                  </w:pPr>
                  <w:proofErr w:type="gramStart"/>
                  <w:r w:rsidRPr="00103EAB">
                    <w:rPr>
                      <w:b/>
                      <w:color w:val="000000" w:themeColor="text1"/>
                      <w:sz w:val="20"/>
                    </w:rPr>
                    <w:t>Keywords :</w:t>
                  </w:r>
                  <w:proofErr w:type="gramEnd"/>
                  <w:r w:rsidRPr="00103EAB">
                    <w:rPr>
                      <w:b/>
                      <w:color w:val="000000" w:themeColor="text1"/>
                      <w:sz w:val="20"/>
                    </w:rPr>
                    <w:t xml:space="preserve"> </w:t>
                  </w:r>
                  <w:sdt>
                    <w:sdtPr>
                      <w:rPr>
                        <w:rStyle w:val="AbstractChar"/>
                        <w:color w:val="000000" w:themeColor="text1"/>
                      </w:rPr>
                      <w:alias w:val="Keyword ejournal"/>
                      <w:tag w:val="Keyword ejournal"/>
                      <w:id w:val="1832093935"/>
                      <w:lock w:val="sdtLocked"/>
                      <w:placeholder>
                        <w:docPart w:val="654A922E8ED94868A353193BEDE2DE3B"/>
                      </w:placeholder>
                      <w:text/>
                    </w:sdtPr>
                    <w:sdtEndPr>
                      <w:rPr>
                        <w:rStyle w:val="DefaultParagraphFont"/>
                        <w:b/>
                        <w:i w:val="0"/>
                        <w:sz w:val="24"/>
                      </w:rPr>
                    </w:sdtEndPr>
                    <w:sdtContent>
                      <w:r w:rsidR="00FD5834">
                        <w:rPr>
                          <w:color w:val="000000" w:themeColor="text1"/>
                          <w:sz w:val="20"/>
                        </w:rPr>
                        <w:t>Earthquake</w:t>
                      </w:r>
                      <w:r w:rsidR="004155DF">
                        <w:rPr>
                          <w:color w:val="000000" w:themeColor="text1"/>
                          <w:sz w:val="20"/>
                        </w:rPr>
                        <w:t>;</w:t>
                      </w:r>
                      <w:r w:rsidRPr="00103EAB">
                        <w:rPr>
                          <w:color w:val="000000" w:themeColor="text1"/>
                          <w:sz w:val="20"/>
                        </w:rPr>
                        <w:t xml:space="preserve"> </w:t>
                      </w:r>
                      <w:r w:rsidR="004155DF">
                        <w:rPr>
                          <w:color w:val="000000" w:themeColor="text1"/>
                          <w:sz w:val="20"/>
                        </w:rPr>
                        <w:t xml:space="preserve">PGA; </w:t>
                      </w:r>
                      <w:r w:rsidR="00FD5834">
                        <w:rPr>
                          <w:color w:val="000000" w:themeColor="text1"/>
                          <w:sz w:val="20"/>
                        </w:rPr>
                        <w:t>Empirical Formulation</w:t>
                      </w:r>
                      <w:r w:rsidR="004155DF">
                        <w:rPr>
                          <w:color w:val="000000" w:themeColor="text1"/>
                          <w:sz w:val="20"/>
                        </w:rPr>
                        <w:t xml:space="preserve">; Fukushima-Tanaka; </w:t>
                      </w:r>
                      <w:proofErr w:type="spellStart"/>
                      <w:r w:rsidR="00116794">
                        <w:rPr>
                          <w:color w:val="000000" w:themeColor="text1"/>
                          <w:sz w:val="20"/>
                        </w:rPr>
                        <w:t>Accelerograph</w:t>
                      </w:r>
                      <w:proofErr w:type="spellEnd"/>
                      <w:r w:rsidRPr="00103EAB">
                        <w:rPr>
                          <w:color w:val="000000" w:themeColor="text1"/>
                          <w:sz w:val="20"/>
                        </w:rPr>
                        <w:t>.</w:t>
                      </w:r>
                    </w:sdtContent>
                  </w:sdt>
                </w:p>
              </w:tc>
            </w:tr>
            <w:tr w:rsidR="001B72FC" w:rsidRPr="00103EAB">
              <w:tc>
                <w:tcPr>
                  <w:tcW w:w="993" w:type="dxa"/>
                  <w:tcBorders>
                    <w:top w:val="single" w:sz="4" w:space="0" w:color="auto"/>
                    <w:bottom w:val="nil"/>
                  </w:tcBorders>
                  <w:tcMar>
                    <w:left w:w="0" w:type="dxa"/>
                    <w:right w:w="0" w:type="dxa"/>
                  </w:tcMar>
                </w:tcPr>
                <w:p w:rsidR="001B72FC" w:rsidRPr="00103EAB" w:rsidRDefault="001B72FC">
                  <w:pPr>
                    <w:spacing w:after="0" w:line="240" w:lineRule="auto"/>
                    <w:rPr>
                      <w:color w:val="000000" w:themeColor="text1"/>
                      <w:sz w:val="4"/>
                    </w:rPr>
                  </w:pPr>
                </w:p>
                <w:sdt>
                  <w:sdtPr>
                    <w:rPr>
                      <w:b/>
                      <w:color w:val="000000" w:themeColor="text1"/>
                      <w:sz w:val="20"/>
                    </w:rPr>
                    <w:id w:val="5641263"/>
                    <w:lock w:val="sdtContentLocked"/>
                    <w:picture/>
                  </w:sdtPr>
                  <w:sdtEndPr/>
                  <w:sdtContent>
                    <w:p w:rsidR="001B72FC" w:rsidRPr="00103EAB" w:rsidRDefault="00F87AFD">
                      <w:pPr>
                        <w:spacing w:after="0" w:line="240" w:lineRule="auto"/>
                        <w:rPr>
                          <w:b/>
                          <w:color w:val="000000" w:themeColor="text1"/>
                          <w:sz w:val="20"/>
                        </w:rPr>
                      </w:pPr>
                      <w:r w:rsidRPr="00103EAB">
                        <w:rPr>
                          <w:noProof/>
                          <w:color w:val="000000" w:themeColor="text1"/>
                          <w:lang w:val="id-ID" w:eastAsia="id-ID"/>
                        </w:rPr>
                        <w:drawing>
                          <wp:inline distT="0" distB="0" distL="0" distR="0">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1B72FC" w:rsidRPr="00103EAB" w:rsidRDefault="001B72FC">
                  <w:pPr>
                    <w:spacing w:after="0" w:line="276" w:lineRule="auto"/>
                    <w:jc w:val="both"/>
                    <w:rPr>
                      <w:b/>
                      <w:color w:val="000000" w:themeColor="text1"/>
                      <w:sz w:val="4"/>
                      <w:szCs w:val="12"/>
                    </w:rPr>
                  </w:pPr>
                </w:p>
                <w:sdt>
                  <w:sdtPr>
                    <w:rPr>
                      <w:b/>
                      <w:color w:val="000000" w:themeColor="text1"/>
                      <w:sz w:val="12"/>
                      <w:szCs w:val="12"/>
                    </w:rPr>
                    <w:id w:val="5641262"/>
                    <w:lock w:val="sdtContentLocked"/>
                    <w:placeholder>
                      <w:docPart w:val="D2D63F56E4424C87865E3B2BA607263E"/>
                    </w:placeholder>
                    <w:date>
                      <w:dateFormat w:val="M/d/yyyy"/>
                      <w:lid w:val="en-US"/>
                      <w:storeMappedDataAs w:val="dateTime"/>
                      <w:calendar w:val="gregorian"/>
                    </w:date>
                  </w:sdtPr>
                  <w:sdtEndPr/>
                  <w:sdtContent>
                    <w:p w:rsidR="001B72FC" w:rsidRPr="00103EAB" w:rsidRDefault="00F87AFD">
                      <w:pPr>
                        <w:spacing w:after="0" w:line="276" w:lineRule="auto"/>
                        <w:jc w:val="both"/>
                        <w:rPr>
                          <w:b/>
                          <w:color w:val="000000" w:themeColor="text1"/>
                          <w:sz w:val="12"/>
                          <w:szCs w:val="12"/>
                        </w:rPr>
                      </w:pPr>
                      <w:r w:rsidRPr="00103EAB">
                        <w:rPr>
                          <w:b/>
                          <w:color w:val="000000" w:themeColor="text1"/>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1B72FC" w:rsidRPr="00103EAB">
              <w:tc>
                <w:tcPr>
                  <w:tcW w:w="9062" w:type="dxa"/>
                  <w:gridSpan w:val="2"/>
                  <w:tcBorders>
                    <w:bottom w:val="single" w:sz="4" w:space="0" w:color="auto"/>
                  </w:tcBorders>
                  <w:tcMar>
                    <w:left w:w="0" w:type="dxa"/>
                    <w:right w:w="0" w:type="dxa"/>
                  </w:tcMar>
                </w:tcPr>
                <w:p w:rsidR="001B72FC" w:rsidRPr="00103EAB" w:rsidRDefault="001B72FC">
                  <w:pPr>
                    <w:spacing w:after="0" w:line="240" w:lineRule="auto"/>
                    <w:rPr>
                      <w:b/>
                      <w:color w:val="000000" w:themeColor="text1"/>
                      <w:sz w:val="8"/>
                    </w:rPr>
                  </w:pPr>
                </w:p>
              </w:tc>
            </w:tr>
            <w:tr w:rsidR="001B72FC" w:rsidRPr="00103EAB">
              <w:tc>
                <w:tcPr>
                  <w:tcW w:w="9062" w:type="dxa"/>
                  <w:gridSpan w:val="2"/>
                  <w:tcBorders>
                    <w:top w:val="single" w:sz="4" w:space="0" w:color="auto"/>
                    <w:bottom w:val="nil"/>
                  </w:tcBorders>
                  <w:tcMar>
                    <w:left w:w="0" w:type="dxa"/>
                    <w:right w:w="0" w:type="dxa"/>
                  </w:tcMar>
                </w:tcPr>
                <w:p w:rsidR="001B72FC" w:rsidRPr="00103EAB" w:rsidRDefault="001B72FC">
                  <w:pPr>
                    <w:spacing w:after="0" w:line="240" w:lineRule="auto"/>
                    <w:rPr>
                      <w:b/>
                      <w:color w:val="000000" w:themeColor="text1"/>
                      <w:sz w:val="10"/>
                    </w:rPr>
                  </w:pPr>
                </w:p>
              </w:tc>
            </w:tr>
          </w:tbl>
          <w:p w:rsidR="001B72FC" w:rsidRPr="00103EAB" w:rsidRDefault="001B72FC">
            <w:pPr>
              <w:spacing w:after="120" w:line="240" w:lineRule="auto"/>
              <w:jc w:val="center"/>
              <w:rPr>
                <w:rFonts w:eastAsiaTheme="majorEastAsia" w:cstheme="majorBidi"/>
                <w:b/>
                <w:color w:val="000000" w:themeColor="text1"/>
                <w:szCs w:val="32"/>
              </w:rPr>
            </w:pPr>
          </w:p>
        </w:tc>
      </w:tr>
    </w:tbl>
    <w:p w:rsidR="001B72FC" w:rsidRDefault="001B72FC">
      <w:pPr>
        <w:spacing w:after="0" w:line="240" w:lineRule="auto"/>
        <w:sectPr w:rsidR="001B72FC">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6B597E" w:rsidRPr="006B597E" w:rsidRDefault="00F87AFD" w:rsidP="006B597E">
          <w:pPr>
            <w:pStyle w:val="Heading1"/>
            <w:numPr>
              <w:ilvl w:val="0"/>
              <w:numId w:val="5"/>
            </w:numPr>
            <w:spacing w:after="240" w:line="276" w:lineRule="auto"/>
            <w:ind w:left="0" w:firstLine="0"/>
            <w:jc w:val="left"/>
            <w:rPr>
              <w:bCs/>
              <w:sz w:val="21"/>
            </w:rPr>
          </w:pPr>
          <w:r>
            <w:rPr>
              <w:bCs/>
              <w:sz w:val="21"/>
            </w:rPr>
            <w:t>INTRODUCTION</w:t>
          </w:r>
        </w:p>
      </w:sdtContent>
    </w:sdt>
    <w:p w:rsidR="006B597E" w:rsidRDefault="006B597E" w:rsidP="006B597E">
      <w:pPr>
        <w:pBdr>
          <w:top w:val="nil"/>
          <w:left w:val="nil"/>
          <w:bottom w:val="nil"/>
          <w:right w:val="nil"/>
          <w:between w:val="nil"/>
        </w:pBdr>
        <w:spacing w:after="0" w:line="260" w:lineRule="auto"/>
        <w:ind w:firstLine="215"/>
        <w:jc w:val="both"/>
        <w:rPr>
          <w:rFonts w:eastAsia="Times New Roman"/>
          <w:color w:val="000000"/>
          <w:sz w:val="20"/>
          <w:szCs w:val="20"/>
        </w:rPr>
      </w:pPr>
      <w:r>
        <w:rPr>
          <w:rFonts w:eastAsia="Times New Roman" w:cs="Times New Roman"/>
          <w:color w:val="000000"/>
          <w:sz w:val="20"/>
          <w:szCs w:val="20"/>
        </w:rPr>
        <w:t xml:space="preserve">Padang is one of the areas most affected by the earthquake. This is because the city of Padang is located at the confluence of the Indo-Australian plate which </w:t>
      </w:r>
      <w:proofErr w:type="spellStart"/>
      <w:r>
        <w:rPr>
          <w:rFonts w:eastAsia="Times New Roman" w:cs="Times New Roman"/>
          <w:color w:val="000000"/>
          <w:sz w:val="20"/>
          <w:szCs w:val="20"/>
        </w:rPr>
        <w:t>subducts</w:t>
      </w:r>
      <w:proofErr w:type="spellEnd"/>
      <w:r>
        <w:rPr>
          <w:rFonts w:eastAsia="Times New Roman" w:cs="Times New Roman"/>
          <w:color w:val="000000"/>
          <w:sz w:val="20"/>
          <w:szCs w:val="20"/>
        </w:rPr>
        <w:t xml:space="preserve"> under </w:t>
      </w:r>
      <w:r w:rsidR="00E25DE7">
        <w:rPr>
          <w:rFonts w:eastAsia="Times New Roman" w:cs="Times New Roman"/>
          <w:color w:val="000000"/>
          <w:sz w:val="20"/>
          <w:szCs w:val="20"/>
        </w:rPr>
        <w:t>the Eurasian plate, as a result</w:t>
      </w:r>
      <w:r>
        <w:rPr>
          <w:rFonts w:eastAsia="Times New Roman" w:cs="Times New Roman"/>
          <w:color w:val="000000"/>
          <w:sz w:val="20"/>
          <w:szCs w:val="20"/>
        </w:rPr>
        <w:t xml:space="preserve"> of the </w:t>
      </w:r>
      <w:proofErr w:type="spellStart"/>
      <w:r>
        <w:rPr>
          <w:rFonts w:eastAsia="Times New Roman" w:cs="Times New Roman"/>
          <w:color w:val="000000"/>
          <w:sz w:val="20"/>
          <w:szCs w:val="20"/>
        </w:rPr>
        <w:t>subduction</w:t>
      </w:r>
      <w:proofErr w:type="spellEnd"/>
      <w:r>
        <w:rPr>
          <w:rFonts w:eastAsia="Times New Roman" w:cs="Times New Roman"/>
          <w:color w:val="000000"/>
          <w:sz w:val="20"/>
          <w:szCs w:val="20"/>
        </w:rPr>
        <w:t xml:space="preserve"> three </w:t>
      </w:r>
      <w:proofErr w:type="gramStart"/>
      <w:r>
        <w:rPr>
          <w:rFonts w:eastAsia="Times New Roman" w:cs="Times New Roman"/>
          <w:color w:val="000000"/>
          <w:sz w:val="20"/>
          <w:szCs w:val="20"/>
        </w:rPr>
        <w:t>zone</w:t>
      </w:r>
      <w:proofErr w:type="gramEnd"/>
      <w:r>
        <w:rPr>
          <w:rFonts w:eastAsia="Times New Roman" w:cs="Times New Roman"/>
          <w:color w:val="000000"/>
          <w:sz w:val="20"/>
          <w:szCs w:val="20"/>
        </w:rPr>
        <w:t xml:space="preserve"> are formed which are the source of the earthquake, namely the </w:t>
      </w:r>
      <w:proofErr w:type="spellStart"/>
      <w:r>
        <w:rPr>
          <w:rFonts w:eastAsia="Times New Roman" w:cs="Times New Roman"/>
          <w:color w:val="000000"/>
          <w:sz w:val="20"/>
          <w:szCs w:val="20"/>
        </w:rPr>
        <w:t>Subduction</w:t>
      </w:r>
      <w:proofErr w:type="spellEnd"/>
      <w:r>
        <w:rPr>
          <w:rFonts w:eastAsia="Times New Roman" w:cs="Times New Roman"/>
          <w:color w:val="000000"/>
          <w:sz w:val="20"/>
          <w:szCs w:val="20"/>
        </w:rPr>
        <w:t xml:space="preserve"> Zone, </w:t>
      </w:r>
      <w:proofErr w:type="spellStart"/>
      <w:r>
        <w:rPr>
          <w:rFonts w:eastAsia="Times New Roman" w:cs="Times New Roman"/>
          <w:color w:val="000000"/>
          <w:sz w:val="20"/>
          <w:szCs w:val="20"/>
        </w:rPr>
        <w:t>Mentawai</w:t>
      </w:r>
      <w:proofErr w:type="spellEnd"/>
      <w:r>
        <w:rPr>
          <w:rFonts w:eastAsia="Times New Roman" w:cs="Times New Roman"/>
          <w:color w:val="000000"/>
          <w:sz w:val="20"/>
          <w:szCs w:val="20"/>
        </w:rPr>
        <w:t xml:space="preserve"> Fault, and Sumatran Fault [1]. Regionally, Padang City is an inseparable part of the Sumatran great fault system. The </w:t>
      </w:r>
      <w:proofErr w:type="spellStart"/>
      <w:r>
        <w:rPr>
          <w:rFonts w:eastAsia="Times New Roman" w:cs="Times New Roman"/>
          <w:color w:val="000000"/>
          <w:sz w:val="20"/>
          <w:szCs w:val="20"/>
        </w:rPr>
        <w:t>Semangko</w:t>
      </w:r>
      <w:proofErr w:type="spellEnd"/>
      <w:r>
        <w:rPr>
          <w:rFonts w:eastAsia="Times New Roman" w:cs="Times New Roman"/>
          <w:color w:val="000000"/>
          <w:sz w:val="20"/>
          <w:szCs w:val="20"/>
        </w:rPr>
        <w:t xml:space="preserve"> Fault which is located in the middle of Sumatra Island and the sea trench in the west of Sumatra Island which flank the Padang City area is also the center of tectonic activity in this region [2]. This condition causes the Padang</w:t>
      </w:r>
      <w:r w:rsidR="001C3308">
        <w:rPr>
          <w:rFonts w:eastAsia="Times New Roman" w:cs="Times New Roman"/>
          <w:color w:val="000000"/>
          <w:sz w:val="20"/>
          <w:szCs w:val="20"/>
        </w:rPr>
        <w:t xml:space="preserve"> City area to become a disaster-</w:t>
      </w:r>
      <w:r>
        <w:rPr>
          <w:rFonts w:eastAsia="Times New Roman" w:cs="Times New Roman"/>
          <w:color w:val="000000"/>
          <w:sz w:val="20"/>
          <w:szCs w:val="20"/>
        </w:rPr>
        <w:t>prone area with a destructive earthquake source.</w:t>
      </w:r>
    </w:p>
    <w:p w:rsidR="006B597E" w:rsidRDefault="006B597E" w:rsidP="006B597E">
      <w:pPr>
        <w:pBdr>
          <w:top w:val="nil"/>
          <w:left w:val="nil"/>
          <w:bottom w:val="nil"/>
          <w:right w:val="nil"/>
          <w:between w:val="nil"/>
        </w:pBdr>
        <w:spacing w:after="0" w:line="260" w:lineRule="auto"/>
        <w:ind w:firstLine="215"/>
        <w:jc w:val="both"/>
        <w:rPr>
          <w:rFonts w:eastAsia="Times New Roman"/>
          <w:color w:val="000000"/>
          <w:sz w:val="20"/>
          <w:szCs w:val="20"/>
        </w:rPr>
      </w:pPr>
      <w:r>
        <w:rPr>
          <w:rFonts w:eastAsia="Times New Roman" w:cs="Times New Roman"/>
          <w:color w:val="000000"/>
          <w:sz w:val="20"/>
          <w:szCs w:val="20"/>
        </w:rPr>
        <w:t>An earthquake is a</w:t>
      </w:r>
      <w:r w:rsidR="00DE59C8">
        <w:rPr>
          <w:rFonts w:eastAsia="Times New Roman" w:cs="Times New Roman"/>
          <w:color w:val="000000"/>
          <w:sz w:val="20"/>
          <w:szCs w:val="20"/>
        </w:rPr>
        <w:t xml:space="preserve">n event that vibrates the earth </w:t>
      </w:r>
      <w:r>
        <w:rPr>
          <w:rFonts w:eastAsia="Times New Roman" w:cs="Times New Roman"/>
          <w:color w:val="000000"/>
          <w:sz w:val="20"/>
          <w:szCs w:val="20"/>
        </w:rPr>
        <w:t xml:space="preserve">caused by </w:t>
      </w:r>
      <w:r w:rsidR="00DE59C8">
        <w:rPr>
          <w:rFonts w:eastAsia="Times New Roman" w:cs="Times New Roman"/>
          <w:color w:val="000000"/>
          <w:sz w:val="20"/>
          <w:szCs w:val="20"/>
        </w:rPr>
        <w:t>the</w:t>
      </w:r>
      <w:r>
        <w:rPr>
          <w:rFonts w:eastAsia="Times New Roman" w:cs="Times New Roman"/>
          <w:color w:val="000000"/>
          <w:sz w:val="20"/>
          <w:szCs w:val="20"/>
        </w:rPr>
        <w:t xml:space="preserve"> sudden release of energy that occurs in the earth </w:t>
      </w:r>
      <w:r w:rsidR="00DE59C8">
        <w:rPr>
          <w:rFonts w:eastAsia="Times New Roman" w:cs="Times New Roman"/>
          <w:color w:val="000000"/>
          <w:sz w:val="20"/>
          <w:szCs w:val="20"/>
        </w:rPr>
        <w:t>and is characterized</w:t>
      </w:r>
      <w:r>
        <w:rPr>
          <w:rFonts w:eastAsia="Times New Roman" w:cs="Times New Roman"/>
          <w:color w:val="000000"/>
          <w:sz w:val="20"/>
          <w:szCs w:val="20"/>
        </w:rPr>
        <w:t xml:space="preserve"> by the </w:t>
      </w:r>
      <w:r w:rsidR="00DE59C8">
        <w:rPr>
          <w:rFonts w:eastAsia="Times New Roman" w:cs="Times New Roman"/>
          <w:color w:val="000000"/>
          <w:sz w:val="20"/>
          <w:szCs w:val="20"/>
        </w:rPr>
        <w:t>fracture</w:t>
      </w:r>
      <w:r>
        <w:rPr>
          <w:rFonts w:eastAsia="Times New Roman" w:cs="Times New Roman"/>
          <w:color w:val="000000"/>
          <w:sz w:val="20"/>
          <w:szCs w:val="20"/>
        </w:rPr>
        <w:t xml:space="preserve"> of </w:t>
      </w:r>
      <w:r w:rsidR="00DE59C8">
        <w:rPr>
          <w:rFonts w:eastAsia="Times New Roman" w:cs="Times New Roman"/>
          <w:color w:val="000000"/>
          <w:sz w:val="20"/>
          <w:szCs w:val="20"/>
        </w:rPr>
        <w:t>the rock layers in</w:t>
      </w:r>
      <w:r w:rsidR="009008F1">
        <w:rPr>
          <w:rFonts w:eastAsia="Times New Roman" w:cs="Times New Roman"/>
          <w:color w:val="000000"/>
          <w:sz w:val="20"/>
          <w:szCs w:val="20"/>
        </w:rPr>
        <w:t xml:space="preserve"> the</w:t>
      </w:r>
      <w:r>
        <w:rPr>
          <w:rFonts w:eastAsia="Times New Roman" w:cs="Times New Roman"/>
          <w:color w:val="000000"/>
          <w:sz w:val="20"/>
          <w:szCs w:val="20"/>
        </w:rPr>
        <w:t xml:space="preserve"> earth’s crust. The accumulation of energy that causes earthquakes and the release of that energy </w:t>
      </w:r>
      <w:r w:rsidR="00922BE0">
        <w:rPr>
          <w:rFonts w:eastAsia="Times New Roman" w:cs="Times New Roman"/>
          <w:color w:val="000000"/>
          <w:sz w:val="20"/>
          <w:szCs w:val="20"/>
        </w:rPr>
        <w:t xml:space="preserve">is the </w:t>
      </w:r>
      <w:r w:rsidR="00356ADB">
        <w:rPr>
          <w:rFonts w:eastAsia="Times New Roman" w:cs="Times New Roman"/>
          <w:color w:val="000000"/>
          <w:sz w:val="20"/>
          <w:szCs w:val="20"/>
        </w:rPr>
        <w:t>result</w:t>
      </w:r>
      <w:r>
        <w:rPr>
          <w:rFonts w:eastAsia="Times New Roman" w:cs="Times New Roman"/>
          <w:color w:val="000000"/>
          <w:sz w:val="20"/>
          <w:szCs w:val="20"/>
        </w:rPr>
        <w:t xml:space="preserve"> </w:t>
      </w:r>
      <w:r w:rsidR="00922BE0">
        <w:rPr>
          <w:rFonts w:eastAsia="Times New Roman" w:cs="Times New Roman"/>
          <w:color w:val="000000"/>
          <w:sz w:val="20"/>
          <w:szCs w:val="20"/>
        </w:rPr>
        <w:t xml:space="preserve">of the </w:t>
      </w:r>
      <w:r>
        <w:rPr>
          <w:rFonts w:eastAsia="Times New Roman" w:cs="Times New Roman"/>
          <w:color w:val="000000"/>
          <w:sz w:val="20"/>
          <w:szCs w:val="20"/>
        </w:rPr>
        <w:t>mo</w:t>
      </w:r>
      <w:r w:rsidR="009E6D11">
        <w:rPr>
          <w:rFonts w:eastAsia="Times New Roman" w:cs="Times New Roman"/>
          <w:color w:val="000000"/>
          <w:sz w:val="20"/>
          <w:szCs w:val="20"/>
        </w:rPr>
        <w:t xml:space="preserve">vement of the tectonic plates. </w:t>
      </w:r>
      <w:r w:rsidR="006F1165">
        <w:rPr>
          <w:rFonts w:eastAsia="Times New Roman" w:cs="Times New Roman"/>
          <w:color w:val="000000"/>
          <w:sz w:val="20"/>
          <w:szCs w:val="20"/>
        </w:rPr>
        <w:t>T</w:t>
      </w:r>
      <w:r>
        <w:rPr>
          <w:rFonts w:eastAsia="Times New Roman" w:cs="Times New Roman"/>
          <w:color w:val="000000"/>
          <w:sz w:val="20"/>
          <w:szCs w:val="20"/>
        </w:rPr>
        <w:t xml:space="preserve">he release of </w:t>
      </w:r>
      <w:r w:rsidR="009E6D11">
        <w:rPr>
          <w:rFonts w:eastAsia="Times New Roman" w:cs="Times New Roman"/>
          <w:color w:val="000000"/>
          <w:sz w:val="20"/>
          <w:szCs w:val="20"/>
        </w:rPr>
        <w:t xml:space="preserve">this </w:t>
      </w:r>
      <w:r>
        <w:rPr>
          <w:rFonts w:eastAsia="Times New Roman" w:cs="Times New Roman"/>
          <w:color w:val="000000"/>
          <w:sz w:val="20"/>
          <w:szCs w:val="20"/>
        </w:rPr>
        <w:t>energy result</w:t>
      </w:r>
      <w:r w:rsidR="00A211CB">
        <w:rPr>
          <w:rFonts w:eastAsia="Times New Roman" w:cs="Times New Roman"/>
          <w:color w:val="000000"/>
          <w:sz w:val="20"/>
          <w:szCs w:val="20"/>
        </w:rPr>
        <w:t>s</w:t>
      </w:r>
      <w:r>
        <w:rPr>
          <w:rFonts w:eastAsia="Times New Roman" w:cs="Times New Roman"/>
          <w:color w:val="000000"/>
          <w:sz w:val="20"/>
          <w:szCs w:val="20"/>
        </w:rPr>
        <w:t xml:space="preserve"> in </w:t>
      </w:r>
      <w:r w:rsidR="005E0C66">
        <w:rPr>
          <w:rFonts w:eastAsia="Times New Roman" w:cs="Times New Roman"/>
          <w:color w:val="000000"/>
          <w:sz w:val="20"/>
          <w:szCs w:val="20"/>
        </w:rPr>
        <w:t xml:space="preserve">the </w:t>
      </w:r>
      <w:r>
        <w:rPr>
          <w:rFonts w:eastAsia="Times New Roman" w:cs="Times New Roman"/>
          <w:color w:val="000000"/>
          <w:sz w:val="20"/>
          <w:szCs w:val="20"/>
        </w:rPr>
        <w:t>deformatio</w:t>
      </w:r>
      <w:r w:rsidR="006F4D07">
        <w:rPr>
          <w:rFonts w:eastAsia="Times New Roman" w:cs="Times New Roman"/>
          <w:color w:val="000000"/>
          <w:sz w:val="20"/>
          <w:szCs w:val="20"/>
        </w:rPr>
        <w:t xml:space="preserve">n of the tectonic plates in </w:t>
      </w:r>
      <w:r w:rsidR="001A4B73">
        <w:rPr>
          <w:rFonts w:eastAsia="Times New Roman" w:cs="Times New Roman"/>
          <w:color w:val="000000"/>
          <w:sz w:val="20"/>
          <w:szCs w:val="20"/>
        </w:rPr>
        <w:t xml:space="preserve">the </w:t>
      </w:r>
      <w:r>
        <w:rPr>
          <w:rFonts w:eastAsia="Times New Roman" w:cs="Times New Roman"/>
          <w:color w:val="000000"/>
          <w:sz w:val="20"/>
          <w:szCs w:val="20"/>
        </w:rPr>
        <w:t xml:space="preserve">earth’s crust [3]. An earthquake </w:t>
      </w:r>
      <w:r w:rsidR="005E0C66">
        <w:rPr>
          <w:rFonts w:eastAsia="Times New Roman" w:cs="Times New Roman"/>
          <w:color w:val="000000"/>
          <w:sz w:val="20"/>
          <w:szCs w:val="20"/>
        </w:rPr>
        <w:t>of</w:t>
      </w:r>
      <w:r>
        <w:rPr>
          <w:rFonts w:eastAsia="Times New Roman" w:cs="Times New Roman"/>
          <w:color w:val="000000"/>
          <w:sz w:val="20"/>
          <w:szCs w:val="20"/>
        </w:rPr>
        <w:t xml:space="preserve"> a large magnitude has an impact on building damage. One of the factors that can determine the size of the damage is the peak ground acceleration [4].</w:t>
      </w:r>
    </w:p>
    <w:p w:rsidR="006B597E" w:rsidRDefault="006B597E" w:rsidP="006B597E">
      <w:pPr>
        <w:pBdr>
          <w:top w:val="nil"/>
          <w:left w:val="nil"/>
          <w:bottom w:val="nil"/>
          <w:right w:val="nil"/>
          <w:between w:val="nil"/>
        </w:pBdr>
        <w:spacing w:after="0" w:line="260" w:lineRule="auto"/>
        <w:ind w:firstLine="431"/>
        <w:jc w:val="both"/>
        <w:rPr>
          <w:rFonts w:eastAsia="Times New Roman"/>
          <w:color w:val="000000"/>
          <w:sz w:val="20"/>
          <w:szCs w:val="20"/>
        </w:rPr>
      </w:pPr>
      <w:r>
        <w:rPr>
          <w:rFonts w:eastAsia="Times New Roman" w:cs="Times New Roman"/>
          <w:color w:val="000000"/>
          <w:sz w:val="20"/>
          <w:szCs w:val="20"/>
        </w:rPr>
        <w:t xml:space="preserve">Peak ground acceleration is the greatest ground acceleration </w:t>
      </w:r>
      <w:r w:rsidR="00D75FDB">
        <w:rPr>
          <w:rFonts w:eastAsia="Times New Roman" w:cs="Times New Roman"/>
          <w:color w:val="000000"/>
          <w:sz w:val="20"/>
          <w:szCs w:val="20"/>
        </w:rPr>
        <w:t xml:space="preserve">that can be </w:t>
      </w:r>
      <w:r>
        <w:rPr>
          <w:rFonts w:eastAsia="Times New Roman" w:cs="Times New Roman"/>
          <w:color w:val="000000"/>
          <w:sz w:val="20"/>
          <w:szCs w:val="20"/>
        </w:rPr>
        <w:t xml:space="preserve">felt on the earth’s surface due to the propagation of seismic waves [5]. This peak ground acceleration cannot be calculated directly using velocity </w:t>
      </w:r>
      <w:r>
        <w:rPr>
          <w:rFonts w:eastAsia="Times New Roman" w:cs="Times New Roman"/>
          <w:color w:val="000000"/>
          <w:sz w:val="20"/>
          <w:szCs w:val="20"/>
        </w:rPr>
        <w:lastRenderedPageBreak/>
        <w:t xml:space="preserve">equations, because the peak ground acceleration value is determined by earthquake parameters such as magnitude, </w:t>
      </w:r>
      <w:r w:rsidR="00521202">
        <w:rPr>
          <w:rFonts w:eastAsia="Times New Roman" w:cs="Times New Roman"/>
          <w:color w:val="000000"/>
          <w:sz w:val="20"/>
          <w:szCs w:val="20"/>
        </w:rPr>
        <w:t xml:space="preserve">the </w:t>
      </w:r>
      <w:r>
        <w:rPr>
          <w:rFonts w:eastAsia="Times New Roman" w:cs="Times New Roman"/>
          <w:color w:val="000000"/>
          <w:sz w:val="20"/>
          <w:szCs w:val="20"/>
        </w:rPr>
        <w:t xml:space="preserve">position of earthquake epicenter and hypocenter, and depth of hypocenter [1]. The peak ground acceleration value is directly proportional to the level of earthquake intensity. Whereas the greater the value of peak ground acceleration caused by an earthquake, the greater the intensity of the earthquake felt by the community [6]. Earthquake intensity is a measure of the level of damage to an area due to vibrations originating from an earthquake [7]. The intensity level of the earthquake can be calculated based on direct observations of the damage caused by the earthquake and can be used as an illustration of the earthquake strength value at the epicenter. </w:t>
      </w:r>
    </w:p>
    <w:p w:rsidR="006B597E" w:rsidRDefault="006B597E" w:rsidP="006B597E">
      <w:pPr>
        <w:pBdr>
          <w:top w:val="nil"/>
          <w:left w:val="nil"/>
          <w:bottom w:val="nil"/>
          <w:right w:val="nil"/>
          <w:between w:val="nil"/>
        </w:pBdr>
        <w:spacing w:after="0" w:line="260" w:lineRule="auto"/>
        <w:ind w:firstLine="431"/>
        <w:jc w:val="both"/>
        <w:rPr>
          <w:rFonts w:eastAsia="Times New Roman"/>
          <w:i/>
          <w:color w:val="000000"/>
          <w:sz w:val="20"/>
          <w:szCs w:val="20"/>
        </w:rPr>
      </w:pPr>
      <w:r>
        <w:rPr>
          <w:rFonts w:eastAsia="Times New Roman" w:cs="Times New Roman"/>
          <w:color w:val="000000"/>
          <w:sz w:val="20"/>
          <w:szCs w:val="20"/>
        </w:rPr>
        <w:t xml:space="preserve">The peak ground acceleration value can be obtained from the measurement results either directly using an </w:t>
      </w:r>
      <w:proofErr w:type="spellStart"/>
      <w:r>
        <w:rPr>
          <w:rFonts w:eastAsia="Times New Roman" w:cs="Times New Roman"/>
          <w:color w:val="000000"/>
          <w:sz w:val="20"/>
          <w:szCs w:val="20"/>
        </w:rPr>
        <w:t>accelerograph</w:t>
      </w:r>
      <w:proofErr w:type="spellEnd"/>
      <w:r>
        <w:rPr>
          <w:rFonts w:eastAsia="Times New Roman" w:cs="Times New Roman"/>
          <w:color w:val="000000"/>
          <w:sz w:val="20"/>
          <w:szCs w:val="20"/>
        </w:rPr>
        <w:t xml:space="preserve"> or through calculations using an empirical formula using earthquake data commonly known as the Ground Motion Prediction Equation (GMPE) [8]. </w:t>
      </w:r>
      <w:proofErr w:type="spellStart"/>
      <w:r>
        <w:rPr>
          <w:rFonts w:eastAsia="Times New Roman" w:cs="Times New Roman"/>
          <w:color w:val="000000"/>
          <w:sz w:val="20"/>
          <w:szCs w:val="20"/>
        </w:rPr>
        <w:t>Accelerograph</w:t>
      </w:r>
      <w:proofErr w:type="spellEnd"/>
      <w:r>
        <w:rPr>
          <w:rFonts w:eastAsia="Times New Roman" w:cs="Times New Roman"/>
          <w:color w:val="000000"/>
          <w:sz w:val="20"/>
          <w:szCs w:val="20"/>
        </w:rPr>
        <w:t xml:space="preserve"> is an instrument used to record ground shaking which is very accurate in measuring the acceleration of ground vibration [1]. Recordings from </w:t>
      </w:r>
      <w:proofErr w:type="spellStart"/>
      <w:r>
        <w:rPr>
          <w:rFonts w:eastAsia="Times New Roman" w:cs="Times New Roman"/>
          <w:color w:val="000000"/>
          <w:sz w:val="20"/>
          <w:szCs w:val="20"/>
        </w:rPr>
        <w:t>accelerographs</w:t>
      </w:r>
      <w:proofErr w:type="spellEnd"/>
      <w:r>
        <w:rPr>
          <w:rFonts w:eastAsia="Times New Roman" w:cs="Times New Roman"/>
          <w:color w:val="000000"/>
          <w:sz w:val="20"/>
          <w:szCs w:val="20"/>
        </w:rPr>
        <w:t xml:space="preserve"> are very useful, one of which is to design earthquake-resistant buildings.</w:t>
      </w:r>
    </w:p>
    <w:p w:rsidR="0082544E" w:rsidRPr="006B597E" w:rsidRDefault="00DA678F" w:rsidP="006B597E">
      <w:pPr>
        <w:pStyle w:val="IJASEITParagraph"/>
        <w:spacing w:after="0" w:line="260" w:lineRule="auto"/>
        <w:ind w:firstLine="215"/>
      </w:pPr>
      <w:r>
        <w:rPr>
          <w:rFonts w:eastAsia="Times New Roman" w:cs="Times New Roman"/>
          <w:color w:val="000000"/>
          <w:szCs w:val="20"/>
        </w:rPr>
        <w:t>S</w:t>
      </w:r>
      <w:r w:rsidR="006B597E">
        <w:rPr>
          <w:rFonts w:eastAsia="Times New Roman" w:cs="Times New Roman"/>
          <w:color w:val="000000"/>
          <w:szCs w:val="20"/>
        </w:rPr>
        <w:t>everal empirical formulas that can be used as an approach to estimate the peak ground acceleration value in an area</w:t>
      </w:r>
      <w:r>
        <w:rPr>
          <w:rFonts w:eastAsia="Times New Roman" w:cs="Times New Roman"/>
          <w:color w:val="000000"/>
          <w:szCs w:val="20"/>
        </w:rPr>
        <w:t>,</w:t>
      </w:r>
      <w:r w:rsidR="006B597E">
        <w:rPr>
          <w:rFonts w:eastAsia="Times New Roman" w:cs="Times New Roman"/>
          <w:color w:val="000000"/>
          <w:szCs w:val="20"/>
        </w:rPr>
        <w:t xml:space="preserve"> </w:t>
      </w:r>
      <w:proofErr w:type="gramStart"/>
      <w:r w:rsidR="006B597E">
        <w:rPr>
          <w:rFonts w:eastAsia="Times New Roman" w:cs="Times New Roman"/>
          <w:color w:val="000000"/>
          <w:szCs w:val="20"/>
        </w:rPr>
        <w:t>include :</w:t>
      </w:r>
      <w:proofErr w:type="gramEnd"/>
    </w:p>
    <w:p w:rsidR="00E06602" w:rsidRDefault="00E06602" w:rsidP="00E06602">
      <w:pPr>
        <w:pStyle w:val="ListParagraph"/>
        <w:numPr>
          <w:ilvl w:val="0"/>
          <w:numId w:val="10"/>
        </w:numPr>
        <w:tabs>
          <w:tab w:val="left" w:pos="5276"/>
        </w:tabs>
        <w:snapToGrid w:val="0"/>
        <w:spacing w:after="0" w:line="260" w:lineRule="auto"/>
        <w:ind w:left="426"/>
        <w:jc w:val="both"/>
        <w:rPr>
          <w:rFonts w:eastAsia="SimSun" w:cs="Times New Roman"/>
          <w:sz w:val="20"/>
          <w:szCs w:val="20"/>
        </w:rPr>
      </w:pPr>
      <w:r>
        <w:rPr>
          <w:rFonts w:eastAsia="SimSun" w:cs="Times New Roman"/>
          <w:sz w:val="20"/>
          <w:szCs w:val="20"/>
        </w:rPr>
        <w:t xml:space="preserve">Mc. </w:t>
      </w:r>
      <w:proofErr w:type="spellStart"/>
      <w:r>
        <w:rPr>
          <w:rFonts w:eastAsia="SimSun" w:cs="Times New Roman"/>
          <w:sz w:val="20"/>
          <w:szCs w:val="20"/>
        </w:rPr>
        <w:t>Guire</w:t>
      </w:r>
      <w:proofErr w:type="spellEnd"/>
    </w:p>
    <w:p w:rsidR="0029675F" w:rsidRDefault="00E06602" w:rsidP="00100E8F">
      <w:pPr>
        <w:pStyle w:val="ListParagraph"/>
        <w:snapToGrid w:val="0"/>
        <w:spacing w:line="260" w:lineRule="auto"/>
        <w:ind w:left="0" w:firstLine="431"/>
        <w:jc w:val="both"/>
        <w:rPr>
          <w:rFonts w:eastAsia="SimSun" w:cs="Times New Roman"/>
          <w:sz w:val="20"/>
          <w:szCs w:val="20"/>
        </w:rPr>
      </w:pPr>
      <w:r>
        <w:rPr>
          <w:rFonts w:eastAsia="SimSun" w:cs="Times New Roman"/>
          <w:sz w:val="20"/>
          <w:szCs w:val="20"/>
        </w:rPr>
        <w:t>This formula is set in the Southern California region in the form of equations.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150"/>
      </w:tblGrid>
      <w:tr w:rsidR="007004C1" w:rsidTr="004700F1">
        <w:trPr>
          <w:jc w:val="center"/>
        </w:trPr>
        <w:tc>
          <w:tcPr>
            <w:tcW w:w="2149" w:type="dxa"/>
            <w:vAlign w:val="center"/>
          </w:tcPr>
          <w:p w:rsidR="007004C1" w:rsidRDefault="00F40B4D" w:rsidP="00100E8F">
            <w:pPr>
              <w:spacing w:line="240" w:lineRule="auto"/>
              <w:jc w:val="both"/>
              <w:rPr>
                <w:rFonts w:cs="Times New Roman"/>
                <w:sz w:val="20"/>
                <w:szCs w:val="20"/>
              </w:rPr>
            </w:pPr>
            <w:r w:rsidRPr="00F40B4D">
              <w:rPr>
                <w:rFonts w:cs="Times New Roman"/>
                <w:i/>
                <w:position w:val="-30"/>
                <w:sz w:val="20"/>
                <w:szCs w:val="20"/>
              </w:rPr>
              <w:object w:dxaOrig="18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85pt;height:36.3pt" o:ole="">
                  <v:imagedata r:id="rId17" o:title=""/>
                </v:shape>
                <o:OLEObject Type="Embed" ProgID="Equation.3" ShapeID="_x0000_i1025" DrawAspect="Content" ObjectID="_1696702688" r:id="rId18"/>
              </w:object>
            </w:r>
          </w:p>
        </w:tc>
        <w:tc>
          <w:tcPr>
            <w:tcW w:w="2150" w:type="dxa"/>
            <w:vAlign w:val="center"/>
          </w:tcPr>
          <w:p w:rsidR="007004C1" w:rsidRDefault="007004C1" w:rsidP="00100E8F">
            <w:pPr>
              <w:spacing w:line="240" w:lineRule="auto"/>
              <w:jc w:val="right"/>
              <w:rPr>
                <w:rFonts w:cs="Times New Roman"/>
                <w:sz w:val="20"/>
                <w:szCs w:val="20"/>
              </w:rPr>
            </w:pPr>
            <w:r>
              <w:rPr>
                <w:rFonts w:cs="Times New Roman"/>
                <w:sz w:val="20"/>
                <w:szCs w:val="20"/>
              </w:rPr>
              <w:t>(1)</w:t>
            </w:r>
          </w:p>
        </w:tc>
      </w:tr>
    </w:tbl>
    <w:p w:rsidR="00695B1B" w:rsidRPr="00BE0072" w:rsidRDefault="00695B1B" w:rsidP="00695B1B">
      <w:pPr>
        <w:snapToGrid w:val="0"/>
        <w:spacing w:after="0" w:line="260" w:lineRule="auto"/>
        <w:jc w:val="both"/>
        <w:rPr>
          <w:rFonts w:eastAsia="SimSun" w:cs="Times New Roman"/>
          <w:sz w:val="20"/>
          <w:szCs w:val="20"/>
        </w:rPr>
      </w:pPr>
      <w:r>
        <w:rPr>
          <w:rFonts w:eastAsia="SimSun" w:cs="Times New Roman"/>
          <w:sz w:val="20"/>
          <w:szCs w:val="20"/>
        </w:rPr>
        <w:t>With:</w:t>
      </w:r>
    </w:p>
    <w:p w:rsidR="00B359C4" w:rsidRPr="00695B1B" w:rsidRDefault="00B359C4" w:rsidP="00695B1B">
      <w:pPr>
        <w:snapToGrid w:val="0"/>
        <w:spacing w:after="0" w:line="260" w:lineRule="auto"/>
        <w:jc w:val="both"/>
        <w:rPr>
          <w:rFonts w:eastAsia="SimSun" w:cs="Times New Roman"/>
          <w:sz w:val="20"/>
          <w:szCs w:val="20"/>
        </w:rPr>
      </w:pPr>
      <w:r w:rsidRPr="00695B1B">
        <w:rPr>
          <w:rFonts w:eastAsia="SimSun" w:cs="Times New Roman"/>
          <w:sz w:val="20"/>
          <w:szCs w:val="20"/>
        </w:rPr>
        <w:t xml:space="preserve">a    = </w:t>
      </w:r>
      <w:r w:rsidR="00695B1B">
        <w:rPr>
          <w:rFonts w:eastAsia="SimSun" w:cs="Times New Roman"/>
          <w:sz w:val="20"/>
          <w:szCs w:val="20"/>
        </w:rPr>
        <w:t>Peak ground acceleration value</w:t>
      </w:r>
      <w:r w:rsidRPr="00695B1B">
        <w:rPr>
          <w:rFonts w:eastAsia="SimSun" w:cs="Times New Roman"/>
          <w:sz w:val="20"/>
          <w:szCs w:val="20"/>
        </w:rPr>
        <w:t xml:space="preserve"> (gal)</w:t>
      </w:r>
    </w:p>
    <w:p w:rsidR="00B359C4" w:rsidRPr="00695B1B" w:rsidRDefault="00695B1B" w:rsidP="00695B1B">
      <w:pPr>
        <w:snapToGrid w:val="0"/>
        <w:spacing w:after="0" w:line="260" w:lineRule="auto"/>
        <w:jc w:val="both"/>
        <w:rPr>
          <w:rFonts w:eastAsia="SimSun" w:cs="Times New Roman"/>
          <w:sz w:val="20"/>
          <w:szCs w:val="20"/>
        </w:rPr>
      </w:pPr>
      <w:proofErr w:type="spellStart"/>
      <w:r>
        <w:rPr>
          <w:rFonts w:eastAsia="SimSun" w:cs="Times New Roman"/>
          <w:sz w:val="20"/>
          <w:szCs w:val="20"/>
        </w:rPr>
        <w:t>Ms</w:t>
      </w:r>
      <w:proofErr w:type="spellEnd"/>
      <w:r>
        <w:rPr>
          <w:rFonts w:eastAsia="SimSun" w:cs="Times New Roman"/>
          <w:sz w:val="20"/>
          <w:szCs w:val="20"/>
        </w:rPr>
        <w:t xml:space="preserve"> = Surface magnitude</w:t>
      </w:r>
    </w:p>
    <w:p w:rsidR="00B359C4" w:rsidRPr="00DB35B2" w:rsidRDefault="00B359C4" w:rsidP="00100E8F">
      <w:pPr>
        <w:snapToGrid w:val="0"/>
        <w:spacing w:line="260" w:lineRule="auto"/>
        <w:jc w:val="both"/>
        <w:rPr>
          <w:rFonts w:eastAsia="SimSun" w:cs="Times New Roman"/>
          <w:sz w:val="20"/>
          <w:szCs w:val="20"/>
        </w:rPr>
      </w:pPr>
      <w:r w:rsidRPr="00DB35B2">
        <w:rPr>
          <w:rFonts w:eastAsia="SimSun" w:cs="Times New Roman"/>
          <w:sz w:val="20"/>
          <w:szCs w:val="20"/>
        </w:rPr>
        <w:t xml:space="preserve">R    = </w:t>
      </w:r>
      <w:r w:rsidR="00DB35B2">
        <w:rPr>
          <w:rFonts w:eastAsia="SimSun" w:cs="Times New Roman"/>
          <w:sz w:val="20"/>
          <w:szCs w:val="20"/>
        </w:rPr>
        <w:t>Hypoc</w:t>
      </w:r>
      <w:r w:rsidRPr="00DB35B2">
        <w:rPr>
          <w:rFonts w:eastAsia="SimSun" w:cs="Times New Roman"/>
          <w:sz w:val="20"/>
          <w:szCs w:val="20"/>
        </w:rPr>
        <w:t xml:space="preserve">enter </w:t>
      </w:r>
      <w:r w:rsidR="00DB35B2">
        <w:rPr>
          <w:rFonts w:eastAsia="SimSun" w:cs="Times New Roman"/>
          <w:sz w:val="20"/>
          <w:szCs w:val="20"/>
        </w:rPr>
        <w:t xml:space="preserve">distance </w:t>
      </w:r>
      <w:r w:rsidRPr="00DB35B2">
        <w:rPr>
          <w:rFonts w:eastAsia="SimSun" w:cs="Times New Roman"/>
          <w:sz w:val="20"/>
          <w:szCs w:val="20"/>
        </w:rPr>
        <w:t>(km)</w:t>
      </w:r>
      <w:r w:rsidR="002A5939" w:rsidRPr="00DB35B2">
        <w:rPr>
          <w:rFonts w:eastAsia="SimSun" w:cs="Times New Roman"/>
          <w:sz w:val="20"/>
          <w:szCs w:val="20"/>
        </w:rPr>
        <w:t xml:space="preserve"> </w:t>
      </w:r>
      <w:r w:rsidR="00DB35B2">
        <w:rPr>
          <w:rFonts w:eastAsia="SimSun" w:cs="Times New Roman"/>
          <w:sz w:val="20"/>
          <w:szCs w:val="20"/>
        </w:rPr>
        <w:t>[9]</w:t>
      </w:r>
      <w:r w:rsidR="002A5939" w:rsidRPr="00DB35B2">
        <w:rPr>
          <w:rFonts w:eastAsia="SimSun" w:cs="Times New Roman"/>
          <w:sz w:val="20"/>
          <w:szCs w:val="20"/>
        </w:rPr>
        <w:t>.</w:t>
      </w:r>
    </w:p>
    <w:p w:rsidR="0029675F" w:rsidRDefault="00E77D1B" w:rsidP="0037771B">
      <w:pPr>
        <w:pStyle w:val="ListParagraph"/>
        <w:numPr>
          <w:ilvl w:val="0"/>
          <w:numId w:val="10"/>
        </w:numPr>
        <w:tabs>
          <w:tab w:val="left" w:pos="5276"/>
        </w:tabs>
        <w:snapToGrid w:val="0"/>
        <w:spacing w:after="0" w:line="260" w:lineRule="auto"/>
        <w:ind w:left="426"/>
        <w:jc w:val="both"/>
        <w:rPr>
          <w:rFonts w:eastAsia="SimSun" w:cs="Times New Roman"/>
          <w:sz w:val="20"/>
          <w:szCs w:val="20"/>
        </w:rPr>
      </w:pPr>
      <w:r>
        <w:rPr>
          <w:rFonts w:eastAsia="SimSun" w:cs="Times New Roman"/>
          <w:sz w:val="20"/>
          <w:szCs w:val="20"/>
        </w:rPr>
        <w:t xml:space="preserve"> </w:t>
      </w:r>
      <w:r w:rsidR="00753412">
        <w:rPr>
          <w:rFonts w:eastAsia="SimSun" w:cs="Times New Roman"/>
          <w:sz w:val="20"/>
          <w:szCs w:val="20"/>
        </w:rPr>
        <w:t xml:space="preserve">Si and </w:t>
      </w:r>
      <w:proofErr w:type="spellStart"/>
      <w:r w:rsidR="00753412">
        <w:rPr>
          <w:rFonts w:eastAsia="SimSun" w:cs="Times New Roman"/>
          <w:sz w:val="20"/>
          <w:szCs w:val="20"/>
        </w:rPr>
        <w:t>Midorikawa</w:t>
      </w:r>
      <w:proofErr w:type="spellEnd"/>
    </w:p>
    <w:p w:rsidR="00753412" w:rsidRDefault="00DA678F" w:rsidP="00100E8F">
      <w:pPr>
        <w:pStyle w:val="ListParagraph"/>
        <w:snapToGrid w:val="0"/>
        <w:spacing w:line="260" w:lineRule="auto"/>
        <w:ind w:left="0" w:firstLine="426"/>
        <w:jc w:val="both"/>
        <w:rPr>
          <w:rFonts w:eastAsia="SimSun" w:cs="Times New Roman"/>
          <w:sz w:val="20"/>
          <w:szCs w:val="20"/>
        </w:rPr>
      </w:pPr>
      <w:proofErr w:type="gramStart"/>
      <w:r>
        <w:rPr>
          <w:rFonts w:eastAsia="SimSun" w:cs="Times New Roman"/>
          <w:sz w:val="20"/>
          <w:szCs w:val="20"/>
        </w:rPr>
        <w:t xml:space="preserve">Si and </w:t>
      </w:r>
      <w:proofErr w:type="spellStart"/>
      <w:r>
        <w:rPr>
          <w:rFonts w:eastAsia="SimSun" w:cs="Times New Roman"/>
          <w:sz w:val="20"/>
          <w:szCs w:val="20"/>
        </w:rPr>
        <w:t>Midorikawa</w:t>
      </w:r>
      <w:proofErr w:type="spellEnd"/>
      <w:r>
        <w:rPr>
          <w:rFonts w:eastAsia="SimSun" w:cs="Times New Roman"/>
          <w:sz w:val="20"/>
          <w:szCs w:val="20"/>
        </w:rPr>
        <w:t xml:space="preserve"> empirical formula</w:t>
      </w:r>
      <w:r w:rsidR="00753412">
        <w:rPr>
          <w:rFonts w:eastAsia="SimSun" w:cs="Times New Roman"/>
          <w:sz w:val="20"/>
          <w:szCs w:val="20"/>
        </w:rPr>
        <w:t xml:space="preserve"> in determining the value </w:t>
      </w:r>
      <w:r>
        <w:rPr>
          <w:rFonts w:eastAsia="SimSun" w:cs="Times New Roman"/>
          <w:sz w:val="20"/>
          <w:szCs w:val="20"/>
        </w:rPr>
        <w:t>of ground acceleration using a</w:t>
      </w:r>
      <w:r w:rsidR="00753412">
        <w:rPr>
          <w:rFonts w:eastAsia="SimSun" w:cs="Times New Roman"/>
          <w:sz w:val="20"/>
          <w:szCs w:val="20"/>
        </w:rPr>
        <w:t xml:space="preserve"> moment</w:t>
      </w:r>
      <w:r>
        <w:rPr>
          <w:rFonts w:eastAsia="SimSun" w:cs="Times New Roman"/>
          <w:sz w:val="20"/>
          <w:szCs w:val="20"/>
        </w:rPr>
        <w:t xml:space="preserve"> of</w:t>
      </w:r>
      <w:r w:rsidR="00753412">
        <w:rPr>
          <w:rFonts w:eastAsia="SimSun" w:cs="Times New Roman"/>
          <w:sz w:val="20"/>
          <w:szCs w:val="20"/>
        </w:rPr>
        <w:t xml:space="preserve"> magnitude in the form of an equation.</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4"/>
        <w:gridCol w:w="2150"/>
      </w:tblGrid>
      <w:tr w:rsidR="00753412" w:rsidTr="004700F1">
        <w:trPr>
          <w:jc w:val="center"/>
        </w:trPr>
        <w:tc>
          <w:tcPr>
            <w:tcW w:w="2149" w:type="dxa"/>
            <w:vAlign w:val="center"/>
          </w:tcPr>
          <w:p w:rsidR="00753412" w:rsidRDefault="00953C50" w:rsidP="00100E8F">
            <w:pPr>
              <w:spacing w:line="240" w:lineRule="auto"/>
              <w:jc w:val="both"/>
              <w:rPr>
                <w:rFonts w:cs="Times New Roman"/>
                <w:sz w:val="20"/>
                <w:szCs w:val="20"/>
              </w:rPr>
            </w:pPr>
            <w:r w:rsidRPr="00646DCB">
              <w:rPr>
                <w:rFonts w:cs="Times New Roman"/>
                <w:i/>
                <w:position w:val="-14"/>
                <w:sz w:val="20"/>
                <w:szCs w:val="20"/>
              </w:rPr>
              <w:object w:dxaOrig="6140" w:dyaOrig="400">
                <v:shape id="_x0000_i1026" type="#_x0000_t75" style="width:304.7pt;height:19.6pt" o:ole="">
                  <v:imagedata r:id="rId19" o:title=""/>
                </v:shape>
                <o:OLEObject Type="Embed" ProgID="Equation.3" ShapeID="_x0000_i1026" DrawAspect="Content" ObjectID="_1696702689" r:id="rId20"/>
              </w:object>
            </w:r>
          </w:p>
        </w:tc>
        <w:tc>
          <w:tcPr>
            <w:tcW w:w="2150" w:type="dxa"/>
            <w:vAlign w:val="center"/>
          </w:tcPr>
          <w:p w:rsidR="00753412" w:rsidRDefault="00753412" w:rsidP="00100E8F">
            <w:pPr>
              <w:spacing w:line="240" w:lineRule="auto"/>
              <w:jc w:val="right"/>
              <w:rPr>
                <w:rFonts w:cs="Times New Roman"/>
                <w:sz w:val="20"/>
                <w:szCs w:val="20"/>
              </w:rPr>
            </w:pPr>
            <w:r>
              <w:rPr>
                <w:rFonts w:cs="Times New Roman"/>
                <w:sz w:val="20"/>
                <w:szCs w:val="20"/>
              </w:rPr>
              <w:t>(2)</w:t>
            </w:r>
          </w:p>
        </w:tc>
      </w:tr>
    </w:tbl>
    <w:p w:rsidR="009E6447" w:rsidRDefault="00753412" w:rsidP="00D02DC2">
      <w:pPr>
        <w:snapToGrid w:val="0"/>
        <w:spacing w:after="0" w:line="260" w:lineRule="auto"/>
        <w:jc w:val="both"/>
        <w:rPr>
          <w:rFonts w:eastAsia="SimSun" w:cs="Times New Roman"/>
          <w:sz w:val="20"/>
          <w:szCs w:val="20"/>
        </w:rPr>
      </w:pPr>
      <w:proofErr w:type="gramStart"/>
      <w:r>
        <w:rPr>
          <w:rFonts w:eastAsia="SimSun" w:cs="Times New Roman"/>
          <w:sz w:val="20"/>
          <w:szCs w:val="20"/>
        </w:rPr>
        <w:t>With</w:t>
      </w:r>
      <w:r w:rsidR="009E6447">
        <w:rPr>
          <w:rFonts w:eastAsia="SimSun" w:cs="Times New Roman"/>
          <w:sz w:val="20"/>
          <w:szCs w:val="20"/>
        </w:rPr>
        <w:t xml:space="preserve"> :</w:t>
      </w:r>
      <w:proofErr w:type="gramEnd"/>
    </w:p>
    <w:p w:rsidR="00A2709F" w:rsidRDefault="00A2709F" w:rsidP="00D02DC2">
      <w:pPr>
        <w:snapToGrid w:val="0"/>
        <w:spacing w:after="0" w:line="260" w:lineRule="auto"/>
        <w:jc w:val="both"/>
        <w:rPr>
          <w:rFonts w:eastAsia="SimSun" w:cs="Times New Roman"/>
          <w:sz w:val="20"/>
          <w:szCs w:val="20"/>
        </w:rPr>
      </w:pPr>
      <w:r>
        <w:rPr>
          <w:rFonts w:eastAsia="SimSun" w:cs="Times New Roman"/>
          <w:sz w:val="20"/>
          <w:szCs w:val="20"/>
        </w:rPr>
        <w:t>A    = Pe</w:t>
      </w:r>
      <w:r w:rsidR="00753412">
        <w:rPr>
          <w:rFonts w:eastAsia="SimSun" w:cs="Times New Roman"/>
          <w:sz w:val="20"/>
          <w:szCs w:val="20"/>
        </w:rPr>
        <w:t>ak g</w:t>
      </w:r>
      <w:r>
        <w:rPr>
          <w:rFonts w:eastAsia="SimSun" w:cs="Times New Roman"/>
          <w:sz w:val="20"/>
          <w:szCs w:val="20"/>
        </w:rPr>
        <w:t>r</w:t>
      </w:r>
      <w:r w:rsidR="00753412">
        <w:rPr>
          <w:rFonts w:eastAsia="SimSun" w:cs="Times New Roman"/>
          <w:sz w:val="20"/>
          <w:szCs w:val="20"/>
        </w:rPr>
        <w:t>ound ac</w:t>
      </w:r>
      <w:r>
        <w:rPr>
          <w:rFonts w:eastAsia="SimSun" w:cs="Times New Roman"/>
          <w:sz w:val="20"/>
          <w:szCs w:val="20"/>
        </w:rPr>
        <w:t>ce</w:t>
      </w:r>
      <w:r w:rsidR="00753412">
        <w:rPr>
          <w:rFonts w:eastAsia="SimSun" w:cs="Times New Roman"/>
          <w:sz w:val="20"/>
          <w:szCs w:val="20"/>
        </w:rPr>
        <w:t xml:space="preserve">leration value </w:t>
      </w:r>
      <w:r>
        <w:rPr>
          <w:rFonts w:eastAsia="SimSun" w:cs="Times New Roman"/>
          <w:sz w:val="20"/>
          <w:szCs w:val="20"/>
        </w:rPr>
        <w:t>(gal)</w:t>
      </w:r>
    </w:p>
    <w:p w:rsidR="00A2709F" w:rsidRDefault="00A2709F" w:rsidP="00D02DC2">
      <w:pPr>
        <w:snapToGrid w:val="0"/>
        <w:spacing w:after="0" w:line="260" w:lineRule="auto"/>
        <w:jc w:val="both"/>
        <w:rPr>
          <w:rFonts w:eastAsia="SimSun" w:cs="Times New Roman"/>
          <w:sz w:val="20"/>
          <w:szCs w:val="20"/>
        </w:rPr>
      </w:pPr>
      <w:r>
        <w:rPr>
          <w:rFonts w:eastAsia="SimSun" w:cs="Times New Roman"/>
          <w:sz w:val="20"/>
          <w:szCs w:val="20"/>
        </w:rPr>
        <w:t>Mw = Momen</w:t>
      </w:r>
      <w:r w:rsidR="00EC425F">
        <w:rPr>
          <w:rFonts w:eastAsia="SimSun" w:cs="Times New Roman"/>
          <w:sz w:val="20"/>
          <w:szCs w:val="20"/>
        </w:rPr>
        <w:t>t of earthquake magnitude</w:t>
      </w:r>
      <w:r>
        <w:rPr>
          <w:rFonts w:eastAsia="SimSun" w:cs="Times New Roman"/>
          <w:sz w:val="20"/>
          <w:szCs w:val="20"/>
        </w:rPr>
        <w:t xml:space="preserve"> (SR)</w:t>
      </w:r>
    </w:p>
    <w:p w:rsidR="00A2709F" w:rsidRDefault="00A2709F" w:rsidP="00D02DC2">
      <w:pPr>
        <w:snapToGrid w:val="0"/>
        <w:spacing w:after="0" w:line="260" w:lineRule="auto"/>
        <w:jc w:val="both"/>
        <w:rPr>
          <w:rFonts w:eastAsia="SimSun" w:cs="Times New Roman"/>
          <w:sz w:val="20"/>
          <w:szCs w:val="20"/>
        </w:rPr>
      </w:pPr>
      <w:r>
        <w:rPr>
          <w:rFonts w:eastAsia="SimSun" w:cs="Times New Roman"/>
          <w:sz w:val="20"/>
          <w:szCs w:val="20"/>
        </w:rPr>
        <w:t xml:space="preserve">D    = </w:t>
      </w:r>
      <w:r w:rsidR="00EC425F">
        <w:rPr>
          <w:rFonts w:eastAsia="SimSun" w:cs="Times New Roman"/>
          <w:sz w:val="20"/>
          <w:szCs w:val="20"/>
        </w:rPr>
        <w:t>Earthquake depth</w:t>
      </w:r>
      <w:r>
        <w:rPr>
          <w:rFonts w:eastAsia="SimSun" w:cs="Times New Roman"/>
          <w:sz w:val="20"/>
          <w:szCs w:val="20"/>
        </w:rPr>
        <w:t xml:space="preserve"> (km)</w:t>
      </w:r>
    </w:p>
    <w:p w:rsidR="00A2709F" w:rsidRDefault="00A2709F" w:rsidP="00D02DC2">
      <w:pPr>
        <w:snapToGrid w:val="0"/>
        <w:spacing w:after="0" w:line="260" w:lineRule="auto"/>
        <w:jc w:val="both"/>
        <w:rPr>
          <w:rFonts w:eastAsia="SimSun" w:cs="Times New Roman"/>
          <w:sz w:val="20"/>
          <w:szCs w:val="20"/>
        </w:rPr>
      </w:pPr>
      <w:proofErr w:type="spellStart"/>
      <w:r>
        <w:rPr>
          <w:rFonts w:eastAsia="SimSun" w:cs="Times New Roman"/>
          <w:sz w:val="20"/>
          <w:szCs w:val="20"/>
        </w:rPr>
        <w:t>X</w:t>
      </w:r>
      <w:r>
        <w:rPr>
          <w:rFonts w:eastAsia="SimSun" w:cs="Times New Roman"/>
          <w:sz w:val="20"/>
          <w:szCs w:val="20"/>
          <w:vertAlign w:val="subscript"/>
        </w:rPr>
        <w:t>eq</w:t>
      </w:r>
      <w:proofErr w:type="spellEnd"/>
      <w:r w:rsidR="00EC425F">
        <w:rPr>
          <w:rFonts w:eastAsia="SimSun" w:cs="Times New Roman"/>
          <w:sz w:val="20"/>
          <w:szCs w:val="20"/>
        </w:rPr>
        <w:t xml:space="preserve"> = Hypoc</w:t>
      </w:r>
      <w:r>
        <w:rPr>
          <w:rFonts w:eastAsia="SimSun" w:cs="Times New Roman"/>
          <w:sz w:val="20"/>
          <w:szCs w:val="20"/>
        </w:rPr>
        <w:t>enter</w:t>
      </w:r>
      <w:r w:rsidR="00EC425F">
        <w:rPr>
          <w:rFonts w:eastAsia="SimSun" w:cs="Times New Roman"/>
          <w:sz w:val="20"/>
          <w:szCs w:val="20"/>
        </w:rPr>
        <w:t xml:space="preserve"> distance</w:t>
      </w:r>
      <w:r>
        <w:rPr>
          <w:rFonts w:eastAsia="SimSun" w:cs="Times New Roman"/>
          <w:sz w:val="20"/>
          <w:szCs w:val="20"/>
        </w:rPr>
        <w:t xml:space="preserve"> (km)</w:t>
      </w:r>
    </w:p>
    <w:p w:rsidR="00777E34" w:rsidRDefault="00A2709F" w:rsidP="00D02DC2">
      <w:pPr>
        <w:snapToGrid w:val="0"/>
        <w:spacing w:after="0" w:line="260" w:lineRule="auto"/>
        <w:jc w:val="both"/>
        <w:rPr>
          <w:rFonts w:eastAsia="SimSun" w:cs="Times New Roman"/>
          <w:sz w:val="20"/>
          <w:szCs w:val="20"/>
        </w:rPr>
      </w:pPr>
      <w:r>
        <w:rPr>
          <w:rFonts w:eastAsia="SimSun" w:cs="Times New Roman"/>
          <w:sz w:val="20"/>
          <w:szCs w:val="20"/>
        </w:rPr>
        <w:t xml:space="preserve">d    = </w:t>
      </w:r>
      <w:r w:rsidR="00EC425F">
        <w:rPr>
          <w:rFonts w:eastAsia="SimSun" w:cs="Times New Roman"/>
          <w:sz w:val="20"/>
          <w:szCs w:val="20"/>
        </w:rPr>
        <w:t>Distance from earthquake center to location</w:t>
      </w:r>
      <w:r w:rsidR="00777E34">
        <w:rPr>
          <w:rFonts w:eastAsia="SimSun" w:cs="Times New Roman"/>
          <w:sz w:val="20"/>
          <w:szCs w:val="20"/>
        </w:rPr>
        <w:t xml:space="preserve"> (km)</w:t>
      </w:r>
    </w:p>
    <w:p w:rsidR="00777E34" w:rsidRDefault="00777E34" w:rsidP="00D02DC2">
      <w:pPr>
        <w:snapToGrid w:val="0"/>
        <w:spacing w:after="0" w:line="260" w:lineRule="auto"/>
        <w:jc w:val="both"/>
        <w:rPr>
          <w:rFonts w:eastAsia="SimSun" w:cs="Times New Roman"/>
          <w:sz w:val="20"/>
          <w:szCs w:val="20"/>
        </w:rPr>
      </w:pPr>
      <w:r>
        <w:rPr>
          <w:rFonts w:eastAsia="SimSun" w:cs="Times New Roman"/>
          <w:sz w:val="20"/>
          <w:szCs w:val="20"/>
        </w:rPr>
        <w:t xml:space="preserve">S   = </w:t>
      </w:r>
      <w:r w:rsidR="00EC425F">
        <w:rPr>
          <w:rFonts w:eastAsia="SimSun" w:cs="Times New Roman"/>
          <w:sz w:val="20"/>
          <w:szCs w:val="20"/>
        </w:rPr>
        <w:t xml:space="preserve">Dummy’s variable for the type of fault </w:t>
      </w:r>
      <w:r>
        <w:rPr>
          <w:rFonts w:eastAsia="SimSun" w:cs="Times New Roman"/>
          <w:sz w:val="20"/>
          <w:szCs w:val="20"/>
        </w:rPr>
        <w:t>(S=1)</w:t>
      </w:r>
    </w:p>
    <w:p w:rsidR="00777E34" w:rsidRDefault="00777E34" w:rsidP="00D02DC2">
      <w:pPr>
        <w:snapToGrid w:val="0"/>
        <w:spacing w:after="0" w:line="260" w:lineRule="auto"/>
        <w:jc w:val="both"/>
        <w:rPr>
          <w:rFonts w:eastAsia="SimSun" w:cs="Times New Roman"/>
          <w:sz w:val="20"/>
          <w:szCs w:val="20"/>
        </w:rPr>
      </w:pPr>
      <w:r>
        <w:rPr>
          <w:rFonts w:eastAsia="SimSun" w:cs="Times New Roman"/>
          <w:sz w:val="20"/>
          <w:szCs w:val="20"/>
        </w:rPr>
        <w:t xml:space="preserve">e   = </w:t>
      </w:r>
      <w:r w:rsidR="00415B10">
        <w:rPr>
          <w:rFonts w:eastAsia="SimSun" w:cs="Times New Roman"/>
          <w:sz w:val="20"/>
          <w:szCs w:val="20"/>
        </w:rPr>
        <w:t xml:space="preserve">Coefficient </w:t>
      </w:r>
      <w:r>
        <w:rPr>
          <w:rFonts w:eastAsia="SimSun" w:cs="Times New Roman"/>
          <w:sz w:val="20"/>
          <w:szCs w:val="20"/>
        </w:rPr>
        <w:t>regres</w:t>
      </w:r>
      <w:r w:rsidR="00415B10">
        <w:rPr>
          <w:rFonts w:eastAsia="SimSun" w:cs="Times New Roman"/>
          <w:sz w:val="20"/>
          <w:szCs w:val="20"/>
        </w:rPr>
        <w:t>s</w:t>
      </w:r>
      <w:r>
        <w:rPr>
          <w:rFonts w:eastAsia="SimSun" w:cs="Times New Roman"/>
          <w:sz w:val="20"/>
          <w:szCs w:val="20"/>
        </w:rPr>
        <w:t>i</w:t>
      </w:r>
      <w:r w:rsidR="00415B10">
        <w:rPr>
          <w:rFonts w:eastAsia="SimSun" w:cs="Times New Roman"/>
          <w:sz w:val="20"/>
          <w:szCs w:val="20"/>
        </w:rPr>
        <w:t>on</w:t>
      </w:r>
      <w:r w:rsidR="00C3179E">
        <w:rPr>
          <w:rFonts w:eastAsia="SimSun" w:cs="Times New Roman"/>
          <w:sz w:val="20"/>
          <w:szCs w:val="20"/>
        </w:rPr>
        <w:t xml:space="preserve"> (0.</w:t>
      </w:r>
      <w:r>
        <w:rPr>
          <w:rFonts w:eastAsia="SimSun" w:cs="Times New Roman"/>
          <w:sz w:val="20"/>
          <w:szCs w:val="20"/>
        </w:rPr>
        <w:t>6)</w:t>
      </w:r>
    </w:p>
    <w:p w:rsidR="00777E34" w:rsidRPr="00777E34" w:rsidRDefault="00777E34" w:rsidP="00100E8F">
      <w:pPr>
        <w:snapToGrid w:val="0"/>
        <w:spacing w:line="260" w:lineRule="auto"/>
        <w:jc w:val="both"/>
        <w:rPr>
          <w:rFonts w:eastAsia="SimSun" w:cs="Times New Roman"/>
          <w:sz w:val="20"/>
          <w:szCs w:val="20"/>
        </w:rPr>
      </w:pPr>
      <w:r>
        <w:rPr>
          <w:rFonts w:ascii="Calibri" w:eastAsia="SimSun" w:hAnsi="Calibri" w:cs="Calibri"/>
          <w:sz w:val="20"/>
          <w:szCs w:val="20"/>
        </w:rPr>
        <w:t>ɛ</w:t>
      </w:r>
      <w:r>
        <w:rPr>
          <w:rFonts w:eastAsia="SimSun" w:cs="Times New Roman"/>
          <w:sz w:val="20"/>
          <w:szCs w:val="20"/>
        </w:rPr>
        <w:t xml:space="preserve">   = Standar</w:t>
      </w:r>
      <w:r w:rsidR="001F44F6">
        <w:rPr>
          <w:rFonts w:eastAsia="SimSun" w:cs="Times New Roman"/>
          <w:sz w:val="20"/>
          <w:szCs w:val="20"/>
        </w:rPr>
        <w:t>d deviat</w:t>
      </w:r>
      <w:r>
        <w:rPr>
          <w:rFonts w:eastAsia="SimSun" w:cs="Times New Roman"/>
          <w:sz w:val="20"/>
          <w:szCs w:val="20"/>
        </w:rPr>
        <w:t>i</w:t>
      </w:r>
      <w:r w:rsidR="001F44F6">
        <w:rPr>
          <w:rFonts w:eastAsia="SimSun" w:cs="Times New Roman"/>
          <w:sz w:val="20"/>
          <w:szCs w:val="20"/>
        </w:rPr>
        <w:t>on</w:t>
      </w:r>
      <w:r w:rsidR="00C3179E">
        <w:rPr>
          <w:rFonts w:eastAsia="SimSun" w:cs="Times New Roman"/>
          <w:sz w:val="20"/>
          <w:szCs w:val="20"/>
        </w:rPr>
        <w:t xml:space="preserve"> (0.</w:t>
      </w:r>
      <w:r>
        <w:rPr>
          <w:rFonts w:eastAsia="SimSun" w:cs="Times New Roman"/>
          <w:sz w:val="20"/>
          <w:szCs w:val="20"/>
        </w:rPr>
        <w:t xml:space="preserve">24) </w:t>
      </w:r>
      <w:r w:rsidR="001F44F6">
        <w:rPr>
          <w:rFonts w:eastAsia="SimSun" w:cs="Times New Roman"/>
          <w:sz w:val="20"/>
          <w:szCs w:val="20"/>
        </w:rPr>
        <w:t>[10].</w:t>
      </w:r>
    </w:p>
    <w:p w:rsidR="0029675F" w:rsidRDefault="0029675F" w:rsidP="001F44F6">
      <w:pPr>
        <w:pStyle w:val="ListParagraph"/>
        <w:numPr>
          <w:ilvl w:val="0"/>
          <w:numId w:val="10"/>
        </w:numPr>
        <w:tabs>
          <w:tab w:val="left" w:pos="5276"/>
        </w:tabs>
        <w:snapToGrid w:val="0"/>
        <w:spacing w:after="0" w:line="260" w:lineRule="auto"/>
        <w:ind w:left="426"/>
        <w:jc w:val="both"/>
        <w:rPr>
          <w:rFonts w:eastAsia="SimSun" w:cs="Times New Roman"/>
          <w:sz w:val="20"/>
          <w:szCs w:val="20"/>
        </w:rPr>
      </w:pPr>
      <w:r>
        <w:rPr>
          <w:rFonts w:eastAsia="SimSun" w:cs="Times New Roman"/>
          <w:sz w:val="20"/>
          <w:szCs w:val="20"/>
        </w:rPr>
        <w:t>Fukushima-Tanaka</w:t>
      </w:r>
    </w:p>
    <w:p w:rsidR="00953C50" w:rsidRPr="00953C50" w:rsidRDefault="001F44F6" w:rsidP="00100E8F">
      <w:pPr>
        <w:pStyle w:val="ListParagraph"/>
        <w:snapToGrid w:val="0"/>
        <w:spacing w:line="260" w:lineRule="auto"/>
        <w:ind w:left="0" w:firstLine="426"/>
        <w:jc w:val="both"/>
        <w:rPr>
          <w:rFonts w:eastAsia="SimSun" w:cs="Times New Roman"/>
          <w:sz w:val="20"/>
          <w:szCs w:val="20"/>
        </w:rPr>
      </w:pPr>
      <w:r>
        <w:rPr>
          <w:rFonts w:eastAsia="SimSun" w:cs="Times New Roman"/>
          <w:sz w:val="20"/>
          <w:szCs w:val="20"/>
        </w:rPr>
        <w:t xml:space="preserve">This formula uses 1372 components </w:t>
      </w:r>
      <w:r w:rsidR="005611DA">
        <w:rPr>
          <w:rFonts w:eastAsia="SimSun" w:cs="Times New Roman"/>
          <w:sz w:val="20"/>
          <w:szCs w:val="20"/>
        </w:rPr>
        <w:t xml:space="preserve">of </w:t>
      </w:r>
      <w:r>
        <w:rPr>
          <w:rFonts w:eastAsia="SimSun" w:cs="Times New Roman"/>
          <w:sz w:val="20"/>
          <w:szCs w:val="20"/>
        </w:rPr>
        <w:t xml:space="preserve">horizontal peak ground acceleration of 28 earthquakes in Japan originating from the </w:t>
      </w:r>
      <w:proofErr w:type="spellStart"/>
      <w:r>
        <w:rPr>
          <w:rFonts w:eastAsia="SimSun" w:cs="Times New Roman"/>
          <w:sz w:val="20"/>
          <w:szCs w:val="20"/>
        </w:rPr>
        <w:t>Subductions</w:t>
      </w:r>
      <w:proofErr w:type="spellEnd"/>
      <w:r>
        <w:rPr>
          <w:rFonts w:eastAsia="SimSun" w:cs="Times New Roman"/>
          <w:sz w:val="20"/>
          <w:szCs w:val="20"/>
        </w:rPr>
        <w:t xml:space="preserve"> Zone. This formula is applied in Japan in the form of an equation.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7"/>
        <w:gridCol w:w="2150"/>
      </w:tblGrid>
      <w:tr w:rsidR="00953C50" w:rsidTr="004700F1">
        <w:trPr>
          <w:jc w:val="center"/>
        </w:trPr>
        <w:tc>
          <w:tcPr>
            <w:tcW w:w="2149" w:type="dxa"/>
            <w:vAlign w:val="center"/>
          </w:tcPr>
          <w:p w:rsidR="00953C50" w:rsidRDefault="00E460E3" w:rsidP="00100E8F">
            <w:pPr>
              <w:spacing w:line="240" w:lineRule="auto"/>
              <w:jc w:val="both"/>
              <w:rPr>
                <w:rFonts w:cs="Times New Roman"/>
                <w:sz w:val="20"/>
                <w:szCs w:val="20"/>
              </w:rPr>
            </w:pPr>
            <w:r w:rsidRPr="00953C50">
              <w:rPr>
                <w:rFonts w:cs="Times New Roman"/>
                <w:i/>
                <w:position w:val="-10"/>
                <w:sz w:val="20"/>
                <w:szCs w:val="20"/>
              </w:rPr>
              <w:object w:dxaOrig="5620" w:dyaOrig="360">
                <v:shape id="_x0000_i1027" type="#_x0000_t75" style="width:278.8pt;height:18.45pt" o:ole="">
                  <v:imagedata r:id="rId21" o:title=""/>
                </v:shape>
                <o:OLEObject Type="Embed" ProgID="Equation.3" ShapeID="_x0000_i1027" DrawAspect="Content" ObjectID="_1696702690" r:id="rId22"/>
              </w:object>
            </w:r>
          </w:p>
        </w:tc>
        <w:tc>
          <w:tcPr>
            <w:tcW w:w="2150" w:type="dxa"/>
            <w:vAlign w:val="center"/>
          </w:tcPr>
          <w:p w:rsidR="00953C50" w:rsidRDefault="00953C50" w:rsidP="00100E8F">
            <w:pPr>
              <w:spacing w:line="240" w:lineRule="auto"/>
              <w:jc w:val="right"/>
              <w:rPr>
                <w:rFonts w:cs="Times New Roman"/>
                <w:sz w:val="20"/>
                <w:szCs w:val="20"/>
              </w:rPr>
            </w:pPr>
            <w:r>
              <w:rPr>
                <w:rFonts w:cs="Times New Roman"/>
                <w:sz w:val="20"/>
                <w:szCs w:val="20"/>
              </w:rPr>
              <w:t>(3)</w:t>
            </w:r>
          </w:p>
        </w:tc>
      </w:tr>
    </w:tbl>
    <w:p w:rsidR="00777E34" w:rsidRDefault="00953C50" w:rsidP="00D02DC2">
      <w:pPr>
        <w:pStyle w:val="ListParagraph"/>
        <w:snapToGrid w:val="0"/>
        <w:spacing w:after="0" w:line="260" w:lineRule="auto"/>
        <w:ind w:left="0"/>
        <w:jc w:val="both"/>
        <w:rPr>
          <w:rFonts w:eastAsia="SimSun" w:cs="Times New Roman"/>
          <w:sz w:val="20"/>
          <w:szCs w:val="20"/>
        </w:rPr>
      </w:pPr>
      <w:proofErr w:type="gramStart"/>
      <w:r>
        <w:rPr>
          <w:rFonts w:eastAsia="SimSun" w:cs="Times New Roman"/>
          <w:sz w:val="20"/>
          <w:szCs w:val="20"/>
        </w:rPr>
        <w:t>With</w:t>
      </w:r>
      <w:r w:rsidR="00777E34">
        <w:rPr>
          <w:rFonts w:eastAsia="SimSun" w:cs="Times New Roman"/>
          <w:sz w:val="20"/>
          <w:szCs w:val="20"/>
        </w:rPr>
        <w:t xml:space="preserve"> :</w:t>
      </w:r>
      <w:proofErr w:type="gramEnd"/>
    </w:p>
    <w:p w:rsidR="00777E34" w:rsidRDefault="00777E34" w:rsidP="00D02DC2">
      <w:pPr>
        <w:pStyle w:val="ListParagraph"/>
        <w:snapToGrid w:val="0"/>
        <w:spacing w:after="0" w:line="260" w:lineRule="auto"/>
        <w:ind w:left="0"/>
        <w:jc w:val="both"/>
        <w:rPr>
          <w:rFonts w:eastAsia="SimSun" w:cs="Times New Roman"/>
          <w:sz w:val="20"/>
          <w:szCs w:val="20"/>
        </w:rPr>
      </w:pPr>
      <w:r>
        <w:rPr>
          <w:rFonts w:eastAsia="SimSun" w:cs="Times New Roman"/>
          <w:sz w:val="20"/>
          <w:szCs w:val="20"/>
        </w:rPr>
        <w:t xml:space="preserve">a     = </w:t>
      </w:r>
      <w:r w:rsidR="00953C50">
        <w:rPr>
          <w:rFonts w:eastAsia="SimSun" w:cs="Times New Roman"/>
          <w:sz w:val="20"/>
          <w:szCs w:val="20"/>
        </w:rPr>
        <w:t>P</w:t>
      </w:r>
      <w:r>
        <w:rPr>
          <w:rFonts w:eastAsia="SimSun" w:cs="Times New Roman"/>
          <w:sz w:val="20"/>
          <w:szCs w:val="20"/>
        </w:rPr>
        <w:t>e</w:t>
      </w:r>
      <w:r w:rsidR="00953C50">
        <w:rPr>
          <w:rFonts w:eastAsia="SimSun" w:cs="Times New Roman"/>
          <w:sz w:val="20"/>
          <w:szCs w:val="20"/>
        </w:rPr>
        <w:t>ak g</w:t>
      </w:r>
      <w:r>
        <w:rPr>
          <w:rFonts w:eastAsia="SimSun" w:cs="Times New Roman"/>
          <w:sz w:val="20"/>
          <w:szCs w:val="20"/>
        </w:rPr>
        <w:t>r</w:t>
      </w:r>
      <w:r w:rsidR="00953C50">
        <w:rPr>
          <w:rFonts w:eastAsia="SimSun" w:cs="Times New Roman"/>
          <w:sz w:val="20"/>
          <w:szCs w:val="20"/>
        </w:rPr>
        <w:t>ound ac</w:t>
      </w:r>
      <w:r>
        <w:rPr>
          <w:rFonts w:eastAsia="SimSun" w:cs="Times New Roman"/>
          <w:sz w:val="20"/>
          <w:szCs w:val="20"/>
        </w:rPr>
        <w:t>ce</w:t>
      </w:r>
      <w:r w:rsidR="00953C50">
        <w:rPr>
          <w:rFonts w:eastAsia="SimSun" w:cs="Times New Roman"/>
          <w:sz w:val="20"/>
          <w:szCs w:val="20"/>
        </w:rPr>
        <w:t>leration value</w:t>
      </w:r>
      <w:r>
        <w:rPr>
          <w:rFonts w:eastAsia="SimSun" w:cs="Times New Roman"/>
          <w:sz w:val="20"/>
          <w:szCs w:val="20"/>
        </w:rPr>
        <w:t xml:space="preserve"> (gal)</w:t>
      </w:r>
    </w:p>
    <w:p w:rsidR="00777E34" w:rsidRDefault="00E460E3" w:rsidP="00D02DC2">
      <w:pPr>
        <w:pStyle w:val="ListParagraph"/>
        <w:snapToGrid w:val="0"/>
        <w:spacing w:after="0" w:line="260" w:lineRule="auto"/>
        <w:ind w:left="0"/>
        <w:jc w:val="both"/>
        <w:rPr>
          <w:rFonts w:eastAsia="SimSun" w:cs="Times New Roman"/>
          <w:sz w:val="20"/>
          <w:szCs w:val="20"/>
        </w:rPr>
      </w:pPr>
      <w:proofErr w:type="spellStart"/>
      <w:r>
        <w:rPr>
          <w:rFonts w:eastAsia="SimSun" w:cs="Times New Roman"/>
          <w:sz w:val="20"/>
          <w:szCs w:val="20"/>
        </w:rPr>
        <w:t>Ms</w:t>
      </w:r>
      <w:proofErr w:type="spellEnd"/>
      <w:r>
        <w:rPr>
          <w:rFonts w:eastAsia="SimSun" w:cs="Times New Roman"/>
          <w:sz w:val="20"/>
          <w:szCs w:val="20"/>
        </w:rPr>
        <w:t xml:space="preserve"> = Surface magnitude</w:t>
      </w:r>
    </w:p>
    <w:p w:rsidR="00777E34" w:rsidRDefault="00E460E3" w:rsidP="00100E8F">
      <w:pPr>
        <w:pStyle w:val="ListParagraph"/>
        <w:snapToGrid w:val="0"/>
        <w:spacing w:line="260" w:lineRule="auto"/>
        <w:ind w:left="0"/>
        <w:jc w:val="both"/>
        <w:rPr>
          <w:rFonts w:eastAsia="SimSun" w:cs="Times New Roman"/>
          <w:sz w:val="20"/>
          <w:szCs w:val="20"/>
        </w:rPr>
      </w:pPr>
      <w:r>
        <w:rPr>
          <w:rFonts w:eastAsia="SimSun" w:cs="Times New Roman"/>
          <w:sz w:val="20"/>
          <w:szCs w:val="20"/>
        </w:rPr>
        <w:t>R    = Hypoc</w:t>
      </w:r>
      <w:r w:rsidR="00777E34">
        <w:rPr>
          <w:rFonts w:eastAsia="SimSun" w:cs="Times New Roman"/>
          <w:sz w:val="20"/>
          <w:szCs w:val="20"/>
        </w:rPr>
        <w:t>enter</w:t>
      </w:r>
      <w:r>
        <w:rPr>
          <w:rFonts w:eastAsia="SimSun" w:cs="Times New Roman"/>
          <w:sz w:val="20"/>
          <w:szCs w:val="20"/>
        </w:rPr>
        <w:t xml:space="preserve"> distance</w:t>
      </w:r>
      <w:r w:rsidR="00281683">
        <w:rPr>
          <w:rFonts w:eastAsia="SimSun" w:cs="Times New Roman"/>
          <w:sz w:val="20"/>
          <w:szCs w:val="20"/>
        </w:rPr>
        <w:t xml:space="preserve"> (km) [11].</w:t>
      </w:r>
    </w:p>
    <w:p w:rsidR="00100E8F" w:rsidRDefault="00100E8F" w:rsidP="00100E8F">
      <w:pPr>
        <w:pStyle w:val="ListParagraph"/>
        <w:snapToGrid w:val="0"/>
        <w:spacing w:line="260" w:lineRule="auto"/>
        <w:ind w:left="0"/>
        <w:jc w:val="both"/>
        <w:rPr>
          <w:rFonts w:eastAsia="SimSun" w:cs="Times New Roman"/>
          <w:sz w:val="20"/>
          <w:szCs w:val="20"/>
        </w:rPr>
      </w:pPr>
    </w:p>
    <w:p w:rsidR="00100E8F" w:rsidRDefault="00100E8F" w:rsidP="00100E8F">
      <w:pPr>
        <w:pStyle w:val="ListParagraph"/>
        <w:snapToGrid w:val="0"/>
        <w:spacing w:line="260" w:lineRule="auto"/>
        <w:ind w:left="0"/>
        <w:jc w:val="both"/>
        <w:rPr>
          <w:rFonts w:eastAsia="SimSun" w:cs="Times New Roman"/>
          <w:sz w:val="20"/>
          <w:szCs w:val="20"/>
        </w:rPr>
      </w:pPr>
    </w:p>
    <w:p w:rsidR="00100E8F" w:rsidRDefault="00100E8F" w:rsidP="00100E8F">
      <w:pPr>
        <w:pStyle w:val="ListParagraph"/>
        <w:snapToGrid w:val="0"/>
        <w:spacing w:line="260" w:lineRule="auto"/>
        <w:ind w:left="0"/>
        <w:jc w:val="both"/>
        <w:rPr>
          <w:rFonts w:eastAsia="SimSun" w:cs="Times New Roman"/>
          <w:sz w:val="20"/>
          <w:szCs w:val="20"/>
        </w:rPr>
      </w:pPr>
    </w:p>
    <w:p w:rsidR="00100E8F" w:rsidRPr="00777E34" w:rsidRDefault="00100E8F" w:rsidP="00100E8F">
      <w:pPr>
        <w:pStyle w:val="ListParagraph"/>
        <w:snapToGrid w:val="0"/>
        <w:spacing w:line="260" w:lineRule="auto"/>
        <w:ind w:left="0"/>
        <w:jc w:val="both"/>
        <w:rPr>
          <w:rFonts w:eastAsia="SimSun" w:cs="Times New Roman"/>
          <w:sz w:val="20"/>
          <w:szCs w:val="20"/>
        </w:rPr>
      </w:pPr>
    </w:p>
    <w:p w:rsidR="0029675F" w:rsidRDefault="0029675F" w:rsidP="006A7E24">
      <w:pPr>
        <w:pStyle w:val="ListParagraph"/>
        <w:numPr>
          <w:ilvl w:val="0"/>
          <w:numId w:val="10"/>
        </w:numPr>
        <w:tabs>
          <w:tab w:val="left" w:pos="5276"/>
        </w:tabs>
        <w:snapToGrid w:val="0"/>
        <w:spacing w:after="0" w:line="260" w:lineRule="auto"/>
        <w:ind w:left="426"/>
        <w:jc w:val="both"/>
        <w:rPr>
          <w:rFonts w:eastAsia="SimSun" w:cs="Times New Roman"/>
          <w:sz w:val="20"/>
          <w:szCs w:val="20"/>
        </w:rPr>
      </w:pPr>
      <w:r>
        <w:rPr>
          <w:rFonts w:eastAsia="SimSun" w:cs="Times New Roman"/>
          <w:sz w:val="20"/>
          <w:szCs w:val="20"/>
        </w:rPr>
        <w:lastRenderedPageBreak/>
        <w:t>Donovan</w:t>
      </w:r>
    </w:p>
    <w:p w:rsidR="00281683" w:rsidRDefault="005B172F" w:rsidP="00100E8F">
      <w:pPr>
        <w:pStyle w:val="ListParagraph"/>
        <w:snapToGrid w:val="0"/>
        <w:spacing w:line="260" w:lineRule="auto"/>
        <w:ind w:left="0" w:firstLine="426"/>
        <w:jc w:val="both"/>
        <w:rPr>
          <w:rFonts w:eastAsia="SimSun" w:cs="Times New Roman"/>
          <w:sz w:val="20"/>
          <w:szCs w:val="20"/>
        </w:rPr>
      </w:pPr>
      <w:r>
        <w:rPr>
          <w:rFonts w:eastAsia="SimSun" w:cs="Times New Roman"/>
          <w:sz w:val="20"/>
          <w:szCs w:val="20"/>
        </w:rPr>
        <w:t>The e</w:t>
      </w:r>
      <w:r w:rsidR="00281683">
        <w:rPr>
          <w:rFonts w:eastAsia="SimSun" w:cs="Times New Roman"/>
          <w:sz w:val="20"/>
          <w:szCs w:val="20"/>
        </w:rPr>
        <w:t xml:space="preserve">mpirical formulation has been carried out using recorded data of an earthquake that occurred on February 9, 1971, in San Fernando [12]. The following is </w:t>
      </w:r>
      <w:r w:rsidR="003D0B8A">
        <w:rPr>
          <w:rFonts w:eastAsia="SimSun" w:cs="Times New Roman"/>
          <w:sz w:val="20"/>
          <w:szCs w:val="20"/>
        </w:rPr>
        <w:t xml:space="preserve">the </w:t>
      </w:r>
      <w:r w:rsidR="00281683">
        <w:rPr>
          <w:rFonts w:eastAsia="SimSun" w:cs="Times New Roman"/>
          <w:sz w:val="20"/>
          <w:szCs w:val="20"/>
        </w:rPr>
        <w:t>form of the equation of this formula.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150"/>
      </w:tblGrid>
      <w:tr w:rsidR="00281683" w:rsidTr="004700F1">
        <w:trPr>
          <w:jc w:val="center"/>
        </w:trPr>
        <w:tc>
          <w:tcPr>
            <w:tcW w:w="2149" w:type="dxa"/>
            <w:vAlign w:val="center"/>
          </w:tcPr>
          <w:p w:rsidR="00281683" w:rsidRDefault="00825D48" w:rsidP="00100E8F">
            <w:pPr>
              <w:spacing w:line="240" w:lineRule="auto"/>
              <w:jc w:val="both"/>
              <w:rPr>
                <w:rFonts w:cs="Times New Roman"/>
                <w:sz w:val="20"/>
                <w:szCs w:val="20"/>
              </w:rPr>
            </w:pPr>
            <w:r w:rsidRPr="00F40B4D">
              <w:rPr>
                <w:rFonts w:cs="Times New Roman"/>
                <w:i/>
                <w:position w:val="-30"/>
                <w:sz w:val="20"/>
                <w:szCs w:val="20"/>
              </w:rPr>
              <w:object w:dxaOrig="1740" w:dyaOrig="720">
                <v:shape id="_x0000_i1028" type="#_x0000_t75" style="width:86.4pt;height:36.3pt" o:ole="">
                  <v:imagedata r:id="rId23" o:title=""/>
                </v:shape>
                <o:OLEObject Type="Embed" ProgID="Equation.3" ShapeID="_x0000_i1028" DrawAspect="Content" ObjectID="_1696702691" r:id="rId24"/>
              </w:object>
            </w:r>
          </w:p>
        </w:tc>
        <w:tc>
          <w:tcPr>
            <w:tcW w:w="2150" w:type="dxa"/>
            <w:vAlign w:val="center"/>
          </w:tcPr>
          <w:p w:rsidR="00281683" w:rsidRDefault="00421D9D" w:rsidP="00100E8F">
            <w:pPr>
              <w:spacing w:line="240" w:lineRule="auto"/>
              <w:jc w:val="right"/>
              <w:rPr>
                <w:rFonts w:cs="Times New Roman"/>
                <w:sz w:val="20"/>
                <w:szCs w:val="20"/>
              </w:rPr>
            </w:pPr>
            <w:r>
              <w:rPr>
                <w:rFonts w:cs="Times New Roman"/>
                <w:sz w:val="20"/>
                <w:szCs w:val="20"/>
              </w:rPr>
              <w:t>(4</w:t>
            </w:r>
            <w:r w:rsidR="00281683">
              <w:rPr>
                <w:rFonts w:cs="Times New Roman"/>
                <w:sz w:val="20"/>
                <w:szCs w:val="20"/>
              </w:rPr>
              <w:t>)</w:t>
            </w:r>
          </w:p>
        </w:tc>
      </w:tr>
    </w:tbl>
    <w:p w:rsidR="001400C8" w:rsidRDefault="00825D48" w:rsidP="00D02DC2">
      <w:pPr>
        <w:pStyle w:val="ListParagraph"/>
        <w:snapToGrid w:val="0"/>
        <w:spacing w:after="0" w:line="260" w:lineRule="auto"/>
        <w:ind w:left="0"/>
        <w:jc w:val="both"/>
        <w:rPr>
          <w:rFonts w:eastAsia="SimSun" w:cs="Times New Roman"/>
          <w:sz w:val="20"/>
          <w:szCs w:val="20"/>
        </w:rPr>
      </w:pPr>
      <w:proofErr w:type="gramStart"/>
      <w:r>
        <w:rPr>
          <w:rFonts w:eastAsia="SimSun" w:cs="Times New Roman"/>
          <w:sz w:val="20"/>
          <w:szCs w:val="20"/>
        </w:rPr>
        <w:t>With</w:t>
      </w:r>
      <w:r w:rsidR="001400C8">
        <w:rPr>
          <w:rFonts w:eastAsia="SimSun" w:cs="Times New Roman"/>
          <w:sz w:val="20"/>
          <w:szCs w:val="20"/>
        </w:rPr>
        <w:t xml:space="preserve"> :</w:t>
      </w:r>
      <w:proofErr w:type="gramEnd"/>
    </w:p>
    <w:p w:rsidR="001400C8" w:rsidRDefault="001400C8" w:rsidP="00D02DC2">
      <w:pPr>
        <w:pStyle w:val="ListParagraph"/>
        <w:snapToGrid w:val="0"/>
        <w:spacing w:after="0" w:line="260" w:lineRule="auto"/>
        <w:ind w:left="0"/>
        <w:jc w:val="both"/>
        <w:rPr>
          <w:rFonts w:eastAsia="SimSun" w:cs="Times New Roman"/>
          <w:sz w:val="20"/>
          <w:szCs w:val="20"/>
        </w:rPr>
      </w:pPr>
      <w:r>
        <w:rPr>
          <w:rFonts w:eastAsia="SimSun" w:cs="Times New Roman"/>
          <w:sz w:val="20"/>
          <w:szCs w:val="20"/>
        </w:rPr>
        <w:t xml:space="preserve">a      = </w:t>
      </w:r>
      <w:r w:rsidR="00825D48">
        <w:rPr>
          <w:rFonts w:eastAsia="SimSun" w:cs="Times New Roman"/>
          <w:sz w:val="20"/>
          <w:szCs w:val="20"/>
        </w:rPr>
        <w:t>Peak ground acceleration value</w:t>
      </w:r>
      <w:r>
        <w:rPr>
          <w:rFonts w:eastAsia="SimSun" w:cs="Times New Roman"/>
          <w:sz w:val="20"/>
          <w:szCs w:val="20"/>
        </w:rPr>
        <w:t xml:space="preserve"> (gal)</w:t>
      </w:r>
    </w:p>
    <w:p w:rsidR="001400C8" w:rsidRDefault="00825D48" w:rsidP="00D02DC2">
      <w:pPr>
        <w:pStyle w:val="ListParagraph"/>
        <w:snapToGrid w:val="0"/>
        <w:spacing w:after="0" w:line="260" w:lineRule="auto"/>
        <w:ind w:left="0"/>
        <w:jc w:val="both"/>
        <w:rPr>
          <w:rFonts w:eastAsia="SimSun" w:cs="Times New Roman"/>
          <w:sz w:val="20"/>
          <w:szCs w:val="20"/>
        </w:rPr>
      </w:pPr>
      <w:r>
        <w:rPr>
          <w:rFonts w:eastAsia="SimSun" w:cs="Times New Roman"/>
          <w:sz w:val="20"/>
          <w:szCs w:val="20"/>
        </w:rPr>
        <w:t>Mw = M</w:t>
      </w:r>
      <w:r w:rsidR="001400C8">
        <w:rPr>
          <w:rFonts w:eastAsia="SimSun" w:cs="Times New Roman"/>
          <w:sz w:val="20"/>
          <w:szCs w:val="20"/>
        </w:rPr>
        <w:t>omen</w:t>
      </w:r>
      <w:r>
        <w:rPr>
          <w:rFonts w:eastAsia="SimSun" w:cs="Times New Roman"/>
          <w:sz w:val="20"/>
          <w:szCs w:val="20"/>
        </w:rPr>
        <w:t>t of earthquake magnitude (SR)</w:t>
      </w:r>
    </w:p>
    <w:p w:rsidR="001400C8" w:rsidRPr="001400C8" w:rsidRDefault="00825D48" w:rsidP="00D02DC2">
      <w:pPr>
        <w:pStyle w:val="ListParagraph"/>
        <w:snapToGrid w:val="0"/>
        <w:spacing w:after="0" w:line="260" w:lineRule="auto"/>
        <w:ind w:left="0"/>
        <w:jc w:val="both"/>
        <w:rPr>
          <w:rFonts w:eastAsia="SimSun" w:cs="Times New Roman"/>
          <w:sz w:val="20"/>
          <w:szCs w:val="20"/>
        </w:rPr>
      </w:pPr>
      <w:r>
        <w:rPr>
          <w:rFonts w:eastAsia="SimSun" w:cs="Times New Roman"/>
          <w:sz w:val="20"/>
          <w:szCs w:val="20"/>
        </w:rPr>
        <w:t>R    = Hypocenter distance</w:t>
      </w:r>
      <w:r w:rsidR="007171CF">
        <w:rPr>
          <w:rFonts w:eastAsia="SimSun" w:cs="Times New Roman"/>
          <w:sz w:val="20"/>
          <w:szCs w:val="20"/>
        </w:rPr>
        <w:t xml:space="preserve"> (km) </w:t>
      </w:r>
      <w:r>
        <w:rPr>
          <w:rFonts w:eastAsia="SimSun" w:cs="Times New Roman"/>
          <w:sz w:val="20"/>
          <w:szCs w:val="20"/>
        </w:rPr>
        <w:t>[13].</w:t>
      </w:r>
    </w:p>
    <w:p w:rsidR="001A4685" w:rsidRDefault="001A4685" w:rsidP="00B9678B">
      <w:pPr>
        <w:pStyle w:val="IJASEITParagraph"/>
        <w:ind w:firstLine="420"/>
      </w:pPr>
      <w:r>
        <w:rPr>
          <w:rFonts w:eastAsia="Times New Roman" w:cs="Times New Roman"/>
          <w:color w:val="000000"/>
          <w:szCs w:val="20"/>
        </w:rPr>
        <w:t>Calculating the peak ground acceleration value using an</w:t>
      </w:r>
      <w:r w:rsidR="00E23B02">
        <w:rPr>
          <w:rFonts w:eastAsia="Times New Roman" w:cs="Times New Roman"/>
          <w:color w:val="000000"/>
          <w:szCs w:val="20"/>
        </w:rPr>
        <w:t xml:space="preserve"> empirical formula is one alternative</w:t>
      </w:r>
      <w:r>
        <w:rPr>
          <w:rFonts w:eastAsia="Times New Roman" w:cs="Times New Roman"/>
          <w:color w:val="000000"/>
          <w:szCs w:val="20"/>
        </w:rPr>
        <w:t xml:space="preserve"> t</w:t>
      </w:r>
      <w:r w:rsidR="00E23B02">
        <w:rPr>
          <w:rFonts w:eastAsia="Times New Roman" w:cs="Times New Roman"/>
          <w:color w:val="000000"/>
          <w:szCs w:val="20"/>
        </w:rPr>
        <w:t xml:space="preserve">o determine the level of </w:t>
      </w:r>
      <w:r>
        <w:rPr>
          <w:rFonts w:eastAsia="Times New Roman" w:cs="Times New Roman"/>
          <w:color w:val="000000"/>
          <w:szCs w:val="20"/>
        </w:rPr>
        <w:t>earthquake</w:t>
      </w:r>
      <w:r w:rsidR="00E23B02">
        <w:rPr>
          <w:rFonts w:eastAsia="Times New Roman" w:cs="Times New Roman"/>
          <w:color w:val="000000"/>
          <w:szCs w:val="20"/>
        </w:rPr>
        <w:t xml:space="preserve"> hazard</w:t>
      </w:r>
      <w:r>
        <w:rPr>
          <w:rFonts w:eastAsia="Times New Roman" w:cs="Times New Roman"/>
          <w:color w:val="000000"/>
          <w:szCs w:val="20"/>
        </w:rPr>
        <w:t xml:space="preserve"> in an area. </w:t>
      </w:r>
      <w:r w:rsidR="002D1845">
        <w:rPr>
          <w:rFonts w:eastAsia="Times New Roman" w:cs="Times New Roman"/>
          <w:color w:val="000000"/>
          <w:szCs w:val="20"/>
        </w:rPr>
        <w:t xml:space="preserve">Considering </w:t>
      </w:r>
      <w:r>
        <w:rPr>
          <w:rFonts w:eastAsia="Times New Roman" w:cs="Times New Roman"/>
          <w:color w:val="000000"/>
          <w:szCs w:val="20"/>
        </w:rPr>
        <w:t>the frequent occurrence of earthquakes in the cit</w:t>
      </w:r>
      <w:r w:rsidR="002D1845">
        <w:rPr>
          <w:rFonts w:eastAsia="Times New Roman" w:cs="Times New Roman"/>
          <w:color w:val="000000"/>
          <w:szCs w:val="20"/>
        </w:rPr>
        <w:t>y of Padang</w:t>
      </w:r>
      <w:r>
        <w:rPr>
          <w:rFonts w:eastAsia="Times New Roman" w:cs="Times New Roman"/>
          <w:color w:val="000000"/>
          <w:szCs w:val="20"/>
        </w:rPr>
        <w:t>,</w:t>
      </w:r>
      <w:r w:rsidR="002D1845">
        <w:rPr>
          <w:rFonts w:eastAsia="Times New Roman" w:cs="Times New Roman"/>
          <w:color w:val="000000"/>
          <w:szCs w:val="20"/>
        </w:rPr>
        <w:t xml:space="preserve"> </w:t>
      </w:r>
      <w:r w:rsidR="00540406">
        <w:rPr>
          <w:rFonts w:eastAsia="Times New Roman" w:cs="Times New Roman"/>
          <w:color w:val="000000"/>
          <w:szCs w:val="20"/>
        </w:rPr>
        <w:t xml:space="preserve">a </w:t>
      </w:r>
      <w:r w:rsidR="002D1845">
        <w:rPr>
          <w:rFonts w:eastAsia="Times New Roman" w:cs="Times New Roman"/>
          <w:color w:val="000000"/>
          <w:szCs w:val="20"/>
        </w:rPr>
        <w:t xml:space="preserve">calculation of the peak ground </w:t>
      </w:r>
      <w:r>
        <w:rPr>
          <w:rFonts w:eastAsia="Times New Roman" w:cs="Times New Roman"/>
          <w:color w:val="000000"/>
          <w:szCs w:val="20"/>
        </w:rPr>
        <w:t>acceleration value</w:t>
      </w:r>
      <w:r w:rsidR="002D1845">
        <w:rPr>
          <w:rFonts w:eastAsia="Times New Roman" w:cs="Times New Roman"/>
          <w:color w:val="000000"/>
          <w:szCs w:val="20"/>
        </w:rPr>
        <w:t xml:space="preserve"> is needed</w:t>
      </w:r>
      <w:r>
        <w:rPr>
          <w:rFonts w:eastAsia="Times New Roman" w:cs="Times New Roman"/>
          <w:color w:val="000000"/>
          <w:szCs w:val="20"/>
        </w:rPr>
        <w:t xml:space="preserve"> to minimize </w:t>
      </w:r>
      <w:r w:rsidR="002D1845">
        <w:rPr>
          <w:rFonts w:eastAsia="Times New Roman" w:cs="Times New Roman"/>
          <w:color w:val="000000"/>
          <w:szCs w:val="20"/>
        </w:rPr>
        <w:t xml:space="preserve">the impact </w:t>
      </w:r>
      <w:r>
        <w:rPr>
          <w:rFonts w:eastAsia="Times New Roman" w:cs="Times New Roman"/>
          <w:color w:val="000000"/>
          <w:szCs w:val="20"/>
        </w:rPr>
        <w:t>caused by earthquakes. The mapping of the peak ground acceleration value will be very important information in supporting the development and spatial planning in the Padang City area.</w:t>
      </w:r>
    </w:p>
    <w:sdt>
      <w:sdtPr>
        <w:rPr>
          <w:bCs/>
          <w:sz w:val="21"/>
          <w:lang w:val="id-ID"/>
        </w:rPr>
        <w:id w:val="92756879"/>
        <w:text/>
      </w:sdtPr>
      <w:sdtEndPr/>
      <w:sdtContent>
        <w:p w:rsidR="003261EC" w:rsidRPr="003261EC" w:rsidRDefault="00F87AFD" w:rsidP="003261EC">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r>
            <w:rPr>
              <w:bCs/>
              <w:sz w:val="21"/>
              <w:lang w:val="id-ID"/>
            </w:rPr>
            <w:t xml:space="preserve"> </w:t>
          </w:r>
        </w:p>
      </w:sdtContent>
    </w:sdt>
    <w:p w:rsidR="003261EC" w:rsidRDefault="003261EC" w:rsidP="003261EC">
      <w:pPr>
        <w:pBdr>
          <w:top w:val="nil"/>
          <w:left w:val="nil"/>
          <w:bottom w:val="nil"/>
          <w:right w:val="nil"/>
          <w:between w:val="nil"/>
        </w:pBdr>
        <w:spacing w:after="0" w:line="240" w:lineRule="auto"/>
        <w:ind w:firstLine="216"/>
        <w:jc w:val="both"/>
        <w:rPr>
          <w:rFonts w:eastAsia="Times New Roman"/>
          <w:color w:val="000000"/>
          <w:sz w:val="20"/>
          <w:szCs w:val="20"/>
        </w:rPr>
      </w:pPr>
      <w:r>
        <w:rPr>
          <w:rFonts w:eastAsia="Times New Roman" w:cs="Times New Roman"/>
          <w:color w:val="000000"/>
          <w:sz w:val="20"/>
          <w:szCs w:val="20"/>
        </w:rPr>
        <w:t xml:space="preserve">This research is a descriptive type of research using secondary data in the form of earthquake data that occurred in the </w:t>
      </w:r>
      <w:proofErr w:type="spellStart"/>
      <w:r>
        <w:rPr>
          <w:rFonts w:eastAsia="Times New Roman" w:cs="Times New Roman"/>
          <w:color w:val="000000"/>
          <w:sz w:val="20"/>
          <w:szCs w:val="20"/>
        </w:rPr>
        <w:t>Mentawai</w:t>
      </w:r>
      <w:proofErr w:type="spellEnd"/>
      <w:r>
        <w:rPr>
          <w:rFonts w:eastAsia="Times New Roman" w:cs="Times New Roman"/>
          <w:color w:val="000000"/>
          <w:sz w:val="20"/>
          <w:szCs w:val="20"/>
        </w:rPr>
        <w:t xml:space="preserve"> Segment in the 2015-2020 </w:t>
      </w:r>
      <w:proofErr w:type="gramStart"/>
      <w:r>
        <w:rPr>
          <w:rFonts w:eastAsia="Times New Roman" w:cs="Times New Roman"/>
          <w:color w:val="000000"/>
          <w:sz w:val="20"/>
          <w:szCs w:val="20"/>
        </w:rPr>
        <w:t>period</w:t>
      </w:r>
      <w:proofErr w:type="gramEnd"/>
      <w:r>
        <w:rPr>
          <w:rFonts w:eastAsia="Times New Roman" w:cs="Times New Roman"/>
          <w:color w:val="000000"/>
          <w:sz w:val="20"/>
          <w:szCs w:val="20"/>
        </w:rPr>
        <w:t xml:space="preserve">. Data is earthquake downloaded from the catalog National Earthquake Information Center US </w:t>
      </w:r>
      <w:r>
        <w:rPr>
          <w:sz w:val="20"/>
          <w:szCs w:val="20"/>
        </w:rPr>
        <w:t>Geological</w:t>
      </w:r>
      <w:r>
        <w:rPr>
          <w:rFonts w:eastAsia="Times New Roman" w:cs="Times New Roman"/>
          <w:color w:val="000000"/>
          <w:sz w:val="20"/>
          <w:szCs w:val="20"/>
        </w:rPr>
        <w:t xml:space="preserve"> Survey (USGS). This study examines the peak ground acceleration value in the city of Padang to identify areas that are prone to damage from earthquakes. The earthquake parameters used in this study were the position of the epicenter, the magnitude, the depth of the hypocenter of the earthquake, and the peak ground acceleration value obtained from the measurement data using an </w:t>
      </w:r>
      <w:proofErr w:type="spellStart"/>
      <w:r>
        <w:rPr>
          <w:rFonts w:eastAsia="Times New Roman" w:cs="Times New Roman"/>
          <w:color w:val="000000"/>
          <w:sz w:val="20"/>
          <w:szCs w:val="20"/>
        </w:rPr>
        <w:t>accelerograph</w:t>
      </w:r>
      <w:proofErr w:type="spellEnd"/>
      <w:r>
        <w:rPr>
          <w:rFonts w:eastAsia="Times New Roman" w:cs="Times New Roman"/>
          <w:color w:val="000000"/>
          <w:sz w:val="20"/>
          <w:szCs w:val="20"/>
        </w:rPr>
        <w:t xml:space="preserve">. The data used is the peak ground acceleration value recorded at the BMKG </w:t>
      </w:r>
      <w:proofErr w:type="spellStart"/>
      <w:r>
        <w:rPr>
          <w:rFonts w:eastAsia="Times New Roman" w:cs="Times New Roman"/>
          <w:color w:val="000000"/>
          <w:sz w:val="20"/>
          <w:szCs w:val="20"/>
        </w:rPr>
        <w:t>Teluk</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Bayur</w:t>
      </w:r>
      <w:proofErr w:type="spellEnd"/>
      <w:r>
        <w:rPr>
          <w:rFonts w:eastAsia="Times New Roman" w:cs="Times New Roman"/>
          <w:color w:val="000000"/>
          <w:sz w:val="20"/>
          <w:szCs w:val="20"/>
        </w:rPr>
        <w:t>. The magnitude earthquake used in this study is 5 SR and has a maximum depth of 300 km.</w:t>
      </w:r>
    </w:p>
    <w:p w:rsidR="005F3034" w:rsidRDefault="003261EC" w:rsidP="00ED643C">
      <w:pPr>
        <w:pStyle w:val="IJASEITParagraph"/>
        <w:spacing w:line="240" w:lineRule="auto"/>
      </w:pPr>
      <w:r>
        <w:rPr>
          <w:rFonts w:eastAsia="Times New Roman" w:cs="Times New Roman"/>
          <w:color w:val="000000"/>
          <w:szCs w:val="20"/>
        </w:rPr>
        <w:t xml:space="preserve">The method in this study was carried out in several stages, namely calculating the distance between the </w:t>
      </w:r>
      <w:proofErr w:type="gramStart"/>
      <w:r>
        <w:rPr>
          <w:rFonts w:eastAsia="Times New Roman" w:cs="Times New Roman"/>
          <w:color w:val="000000"/>
          <w:szCs w:val="20"/>
        </w:rPr>
        <w:t>epicenter</w:t>
      </w:r>
      <w:proofErr w:type="gramEnd"/>
      <w:r>
        <w:rPr>
          <w:rFonts w:eastAsia="Times New Roman" w:cs="Times New Roman"/>
          <w:color w:val="000000"/>
          <w:szCs w:val="20"/>
        </w:rPr>
        <w:t xml:space="preserve"> coordinates of each earthquake that occurred using the coordinates of the earthquake and the coordinates of the </w:t>
      </w:r>
      <w:proofErr w:type="spellStart"/>
      <w:r>
        <w:rPr>
          <w:rFonts w:eastAsia="Times New Roman" w:cs="Times New Roman"/>
          <w:color w:val="000000"/>
          <w:szCs w:val="20"/>
        </w:rPr>
        <w:t>accelerograph</w:t>
      </w:r>
      <w:proofErr w:type="spellEnd"/>
      <w:r>
        <w:rPr>
          <w:rFonts w:eastAsia="Times New Roman" w:cs="Times New Roman"/>
          <w:color w:val="000000"/>
          <w:szCs w:val="20"/>
        </w:rPr>
        <w:t xml:space="preserve"> using equation 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150"/>
      </w:tblGrid>
      <w:tr w:rsidR="00FF1655" w:rsidTr="00ED643C">
        <w:trPr>
          <w:jc w:val="center"/>
        </w:trPr>
        <w:tc>
          <w:tcPr>
            <w:tcW w:w="2838" w:type="dxa"/>
            <w:vAlign w:val="center"/>
          </w:tcPr>
          <w:p w:rsidR="00FF1655" w:rsidRDefault="00791BDC" w:rsidP="00100E8F">
            <w:pPr>
              <w:spacing w:line="240" w:lineRule="auto"/>
              <w:jc w:val="both"/>
              <w:rPr>
                <w:rFonts w:cs="Times New Roman"/>
                <w:sz w:val="20"/>
                <w:szCs w:val="20"/>
              </w:rPr>
            </w:pPr>
            <w:r w:rsidRPr="00953C50">
              <w:rPr>
                <w:rFonts w:cs="Times New Roman"/>
                <w:i/>
                <w:position w:val="-10"/>
                <w:sz w:val="20"/>
                <w:szCs w:val="20"/>
              </w:rPr>
              <w:object w:dxaOrig="2640" w:dyaOrig="360">
                <v:shape id="_x0000_i1029" type="#_x0000_t75" style="width:131.35pt;height:18.45pt" o:ole="">
                  <v:imagedata r:id="rId25" o:title=""/>
                </v:shape>
                <o:OLEObject Type="Embed" ProgID="Equation.3" ShapeID="_x0000_i1029" DrawAspect="Content" ObjectID="_1696702692" r:id="rId26"/>
              </w:object>
            </w:r>
          </w:p>
        </w:tc>
        <w:tc>
          <w:tcPr>
            <w:tcW w:w="2150" w:type="dxa"/>
            <w:vAlign w:val="center"/>
          </w:tcPr>
          <w:p w:rsidR="00FF1655" w:rsidRDefault="00FF1655" w:rsidP="00100E8F">
            <w:pPr>
              <w:spacing w:line="240" w:lineRule="auto"/>
              <w:jc w:val="right"/>
              <w:rPr>
                <w:rFonts w:cs="Times New Roman"/>
                <w:sz w:val="20"/>
                <w:szCs w:val="20"/>
              </w:rPr>
            </w:pPr>
            <w:r>
              <w:rPr>
                <w:rFonts w:cs="Times New Roman"/>
                <w:sz w:val="20"/>
                <w:szCs w:val="20"/>
              </w:rPr>
              <w:t>(5)</w:t>
            </w:r>
          </w:p>
        </w:tc>
      </w:tr>
    </w:tbl>
    <w:p w:rsidR="00ED643C" w:rsidRDefault="00ED643C" w:rsidP="00ED643C">
      <w:pPr>
        <w:pBdr>
          <w:top w:val="nil"/>
          <w:left w:val="nil"/>
          <w:bottom w:val="nil"/>
          <w:right w:val="nil"/>
          <w:between w:val="nil"/>
        </w:pBdr>
        <w:spacing w:after="0" w:line="240" w:lineRule="auto"/>
        <w:jc w:val="both"/>
        <w:rPr>
          <w:rFonts w:eastAsia="Times New Roman"/>
          <w:color w:val="000000"/>
          <w:sz w:val="20"/>
          <w:szCs w:val="20"/>
        </w:rPr>
      </w:pPr>
      <w:r>
        <w:rPr>
          <w:rFonts w:eastAsia="Times New Roman" w:cs="Times New Roman"/>
          <w:color w:val="000000"/>
          <w:sz w:val="20"/>
          <w:szCs w:val="20"/>
        </w:rPr>
        <w:t xml:space="preserve">Where D is the distance from the earthquake epicenter to the coordinates of the calculation area, </w:t>
      </w:r>
      <w:r>
        <w:rPr>
          <w:rFonts w:eastAsia="Times New Roman" w:cs="Times New Roman"/>
          <w:i/>
          <w:color w:val="000000"/>
          <w:sz w:val="20"/>
          <w:szCs w:val="20"/>
        </w:rPr>
        <w:t>x</w:t>
      </w:r>
      <w:r>
        <w:rPr>
          <w:rFonts w:eastAsia="Times New Roman" w:cs="Times New Roman"/>
          <w:i/>
          <w:color w:val="000000"/>
          <w:sz w:val="20"/>
          <w:szCs w:val="20"/>
          <w:vertAlign w:val="subscript"/>
        </w:rPr>
        <w:t>1</w:t>
      </w:r>
      <w:r>
        <w:rPr>
          <w:rFonts w:eastAsia="Times New Roman" w:cs="Times New Roman"/>
          <w:i/>
          <w:color w:val="000000"/>
          <w:sz w:val="20"/>
          <w:szCs w:val="20"/>
        </w:rPr>
        <w:t xml:space="preserve"> </w:t>
      </w:r>
      <w:r>
        <w:rPr>
          <w:rFonts w:eastAsia="Times New Roman" w:cs="Times New Roman"/>
          <w:color w:val="000000"/>
          <w:sz w:val="20"/>
          <w:szCs w:val="20"/>
        </w:rPr>
        <w:t xml:space="preserve">is the latitude of the epicenter, </w:t>
      </w:r>
      <w:r>
        <w:rPr>
          <w:rFonts w:eastAsia="Times New Roman" w:cs="Times New Roman"/>
          <w:i/>
          <w:color w:val="000000"/>
          <w:sz w:val="20"/>
          <w:szCs w:val="20"/>
        </w:rPr>
        <w:t>x</w:t>
      </w:r>
      <w:r>
        <w:rPr>
          <w:rFonts w:eastAsia="Times New Roman" w:cs="Times New Roman"/>
          <w:i/>
          <w:color w:val="000000"/>
          <w:sz w:val="20"/>
          <w:szCs w:val="20"/>
          <w:vertAlign w:val="subscript"/>
        </w:rPr>
        <w:t>2</w:t>
      </w:r>
      <w:r>
        <w:rPr>
          <w:rFonts w:eastAsia="Times New Roman" w:cs="Times New Roman"/>
          <w:color w:val="000000"/>
          <w:sz w:val="20"/>
          <w:szCs w:val="20"/>
        </w:rPr>
        <w:t xml:space="preserve"> is the latitude of the reference point of the calculation area, </w:t>
      </w:r>
      <w:r>
        <w:rPr>
          <w:rFonts w:eastAsia="Times New Roman" w:cs="Times New Roman"/>
          <w:i/>
          <w:color w:val="000000"/>
          <w:sz w:val="20"/>
          <w:szCs w:val="20"/>
        </w:rPr>
        <w:t>y</w:t>
      </w:r>
      <w:r>
        <w:rPr>
          <w:rFonts w:eastAsia="Times New Roman" w:cs="Times New Roman"/>
          <w:i/>
          <w:color w:val="000000"/>
          <w:sz w:val="20"/>
          <w:szCs w:val="20"/>
          <w:vertAlign w:val="subscript"/>
        </w:rPr>
        <w:t>1</w:t>
      </w:r>
      <w:r>
        <w:rPr>
          <w:rFonts w:eastAsia="Times New Roman" w:cs="Times New Roman"/>
          <w:color w:val="000000"/>
          <w:sz w:val="20"/>
          <w:szCs w:val="20"/>
        </w:rPr>
        <w:t xml:space="preserve"> is the longitude of the epicenter and </w:t>
      </w:r>
      <w:r>
        <w:rPr>
          <w:rFonts w:eastAsia="Times New Roman" w:cs="Times New Roman"/>
          <w:i/>
          <w:color w:val="000000"/>
          <w:sz w:val="20"/>
          <w:szCs w:val="20"/>
        </w:rPr>
        <w:t>y</w:t>
      </w:r>
      <w:r>
        <w:rPr>
          <w:rFonts w:eastAsia="Times New Roman" w:cs="Times New Roman"/>
          <w:i/>
          <w:color w:val="000000"/>
          <w:sz w:val="20"/>
          <w:szCs w:val="20"/>
          <w:vertAlign w:val="subscript"/>
        </w:rPr>
        <w:t>2</w:t>
      </w:r>
      <w:r>
        <w:rPr>
          <w:rFonts w:eastAsia="Times New Roman" w:cs="Times New Roman"/>
          <w:color w:val="000000"/>
          <w:sz w:val="20"/>
          <w:szCs w:val="20"/>
        </w:rPr>
        <w:t xml:space="preserve"> is the longitude of the reference point of the calculation area. The units for D, </w:t>
      </w:r>
      <w:r>
        <w:rPr>
          <w:rFonts w:eastAsia="Times New Roman" w:cs="Times New Roman"/>
          <w:i/>
          <w:color w:val="000000"/>
          <w:sz w:val="20"/>
          <w:szCs w:val="20"/>
        </w:rPr>
        <w:t>x</w:t>
      </w:r>
      <w:r>
        <w:rPr>
          <w:rFonts w:eastAsia="Times New Roman" w:cs="Times New Roman"/>
          <w:i/>
          <w:color w:val="000000"/>
          <w:sz w:val="20"/>
          <w:szCs w:val="20"/>
          <w:vertAlign w:val="subscript"/>
        </w:rPr>
        <w:t>1</w:t>
      </w:r>
      <w:r>
        <w:rPr>
          <w:rFonts w:eastAsia="Times New Roman" w:cs="Times New Roman"/>
          <w:i/>
          <w:color w:val="000000"/>
          <w:sz w:val="20"/>
          <w:szCs w:val="20"/>
        </w:rPr>
        <w:t>, x</w:t>
      </w:r>
      <w:r>
        <w:rPr>
          <w:rFonts w:eastAsia="Times New Roman" w:cs="Times New Roman"/>
          <w:i/>
          <w:color w:val="000000"/>
          <w:sz w:val="20"/>
          <w:szCs w:val="20"/>
          <w:vertAlign w:val="subscript"/>
        </w:rPr>
        <w:t>2</w:t>
      </w:r>
      <w:r>
        <w:rPr>
          <w:rFonts w:eastAsia="Times New Roman" w:cs="Times New Roman"/>
          <w:i/>
          <w:color w:val="000000"/>
          <w:sz w:val="20"/>
          <w:szCs w:val="20"/>
        </w:rPr>
        <w:t>, y</w:t>
      </w:r>
      <w:r>
        <w:rPr>
          <w:rFonts w:eastAsia="Times New Roman" w:cs="Times New Roman"/>
          <w:i/>
          <w:color w:val="000000"/>
          <w:sz w:val="20"/>
          <w:szCs w:val="20"/>
          <w:vertAlign w:val="subscript"/>
        </w:rPr>
        <w:t>1</w:t>
      </w:r>
      <w:r>
        <w:rPr>
          <w:rFonts w:eastAsia="Times New Roman" w:cs="Times New Roman"/>
          <w:i/>
          <w:color w:val="000000"/>
          <w:sz w:val="20"/>
          <w:szCs w:val="20"/>
        </w:rPr>
        <w:t xml:space="preserve">, </w:t>
      </w:r>
      <w:r>
        <w:rPr>
          <w:rFonts w:eastAsia="Times New Roman" w:cs="Times New Roman"/>
          <w:color w:val="000000"/>
          <w:sz w:val="20"/>
          <w:szCs w:val="20"/>
        </w:rPr>
        <w:t xml:space="preserve">and </w:t>
      </w:r>
      <w:r>
        <w:rPr>
          <w:rFonts w:eastAsia="Times New Roman" w:cs="Times New Roman"/>
          <w:i/>
          <w:color w:val="000000"/>
          <w:sz w:val="20"/>
          <w:szCs w:val="20"/>
        </w:rPr>
        <w:t>y</w:t>
      </w:r>
      <w:r>
        <w:rPr>
          <w:rFonts w:eastAsia="Times New Roman" w:cs="Times New Roman"/>
          <w:i/>
          <w:color w:val="000000"/>
          <w:sz w:val="20"/>
          <w:szCs w:val="20"/>
          <w:vertAlign w:val="subscript"/>
        </w:rPr>
        <w:t>2</w:t>
      </w:r>
      <w:r>
        <w:rPr>
          <w:rFonts w:eastAsia="Times New Roman" w:cs="Times New Roman"/>
          <w:i/>
          <w:color w:val="000000"/>
          <w:sz w:val="20"/>
          <w:szCs w:val="20"/>
        </w:rPr>
        <w:t xml:space="preserve"> </w:t>
      </w:r>
      <w:r>
        <w:rPr>
          <w:rFonts w:eastAsia="Times New Roman" w:cs="Times New Roman"/>
          <w:color w:val="000000"/>
          <w:sz w:val="20"/>
          <w:szCs w:val="20"/>
        </w:rPr>
        <w:t>are in the form (</w:t>
      </w:r>
      <w:r>
        <w:rPr>
          <w:rFonts w:ascii="Calibri" w:eastAsia="Calibri" w:hAnsi="Calibri" w:cs="Calibri"/>
          <w:color w:val="000000"/>
          <w:sz w:val="20"/>
          <w:szCs w:val="20"/>
        </w:rPr>
        <w:t>°</w:t>
      </w:r>
      <w:r>
        <w:rPr>
          <w:rFonts w:eastAsia="Times New Roman" w:cs="Times New Roman"/>
          <w:color w:val="000000"/>
          <w:sz w:val="20"/>
          <w:szCs w:val="20"/>
        </w:rPr>
        <w:t>). The obtained epicenter distance is converted into km, where 1</w:t>
      </w:r>
      <w:r>
        <w:rPr>
          <w:rFonts w:ascii="Calibri" w:eastAsia="Calibri" w:hAnsi="Calibri" w:cs="Calibri"/>
          <w:color w:val="000000"/>
          <w:sz w:val="20"/>
          <w:szCs w:val="20"/>
        </w:rPr>
        <w:t>°</w:t>
      </w:r>
      <w:r>
        <w:rPr>
          <w:rFonts w:eastAsia="Times New Roman" w:cs="Times New Roman"/>
          <w:color w:val="000000"/>
          <w:sz w:val="20"/>
          <w:szCs w:val="20"/>
        </w:rPr>
        <w:t xml:space="preserve"> = 111km.</w:t>
      </w:r>
    </w:p>
    <w:p w:rsidR="002C4EBF" w:rsidRPr="00ED643C" w:rsidRDefault="00ED643C" w:rsidP="00ED643C">
      <w:pPr>
        <w:pStyle w:val="IJASEITParagraph"/>
        <w:spacing w:line="240" w:lineRule="auto"/>
        <w:ind w:firstLine="0"/>
        <w:rPr>
          <w:lang w:val="en-GB"/>
        </w:rPr>
      </w:pPr>
      <w:r>
        <w:rPr>
          <w:rFonts w:eastAsia="Times New Roman" w:cs="Times New Roman"/>
          <w:color w:val="000000"/>
          <w:szCs w:val="20"/>
        </w:rPr>
        <w:t xml:space="preserve">Calculate the hypocenter distance of each earthquake that occurs using the coordinates of the earthquake and the coordinates of the </w:t>
      </w:r>
      <w:proofErr w:type="spellStart"/>
      <w:r>
        <w:rPr>
          <w:rFonts w:eastAsia="Times New Roman" w:cs="Times New Roman"/>
          <w:color w:val="000000"/>
          <w:szCs w:val="20"/>
        </w:rPr>
        <w:t>accelerograph</w:t>
      </w:r>
      <w:proofErr w:type="spellEnd"/>
      <w:r>
        <w:rPr>
          <w:rFonts w:eastAsia="Times New Roman" w:cs="Times New Roman"/>
          <w:color w:val="000000"/>
          <w:szCs w:val="20"/>
        </w:rPr>
        <w:t xml:space="preserve"> using the theorem Pythagorean as equation 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150"/>
      </w:tblGrid>
      <w:tr w:rsidR="002C4EBF" w:rsidTr="004700F1">
        <w:trPr>
          <w:jc w:val="center"/>
        </w:trPr>
        <w:tc>
          <w:tcPr>
            <w:tcW w:w="2149" w:type="dxa"/>
            <w:vAlign w:val="center"/>
          </w:tcPr>
          <w:p w:rsidR="002C4EBF" w:rsidRDefault="00AF51C0" w:rsidP="00100E8F">
            <w:pPr>
              <w:spacing w:line="240" w:lineRule="auto"/>
              <w:jc w:val="both"/>
              <w:rPr>
                <w:rFonts w:cs="Times New Roman"/>
                <w:sz w:val="20"/>
                <w:szCs w:val="20"/>
              </w:rPr>
            </w:pPr>
            <w:r w:rsidRPr="002C4EBF">
              <w:rPr>
                <w:rFonts w:cs="Times New Roman"/>
                <w:i/>
                <w:position w:val="-6"/>
                <w:sz w:val="20"/>
                <w:szCs w:val="20"/>
              </w:rPr>
              <w:object w:dxaOrig="1500" w:dyaOrig="380">
                <v:shape id="_x0000_i1030" type="#_x0000_t75" style="width:74.9pt;height:19pt" o:ole="">
                  <v:imagedata r:id="rId27" o:title=""/>
                </v:shape>
                <o:OLEObject Type="Embed" ProgID="Equation.3" ShapeID="_x0000_i1030" DrawAspect="Content" ObjectID="_1696702693" r:id="rId28"/>
              </w:object>
            </w:r>
          </w:p>
        </w:tc>
        <w:tc>
          <w:tcPr>
            <w:tcW w:w="2150" w:type="dxa"/>
            <w:vAlign w:val="center"/>
          </w:tcPr>
          <w:p w:rsidR="002C4EBF" w:rsidRDefault="002C4EBF" w:rsidP="00100E8F">
            <w:pPr>
              <w:spacing w:line="240" w:lineRule="auto"/>
              <w:jc w:val="right"/>
              <w:rPr>
                <w:rFonts w:cs="Times New Roman"/>
                <w:sz w:val="20"/>
                <w:szCs w:val="20"/>
              </w:rPr>
            </w:pPr>
            <w:r>
              <w:rPr>
                <w:rFonts w:cs="Times New Roman"/>
                <w:sz w:val="20"/>
                <w:szCs w:val="20"/>
              </w:rPr>
              <w:t>(6)</w:t>
            </w:r>
          </w:p>
        </w:tc>
      </w:tr>
    </w:tbl>
    <w:p w:rsidR="0039654A" w:rsidRDefault="0039654A" w:rsidP="0039654A">
      <w:pPr>
        <w:pBdr>
          <w:top w:val="nil"/>
          <w:left w:val="nil"/>
          <w:bottom w:val="nil"/>
          <w:right w:val="nil"/>
          <w:between w:val="nil"/>
        </w:pBdr>
        <w:spacing w:after="0" w:line="240" w:lineRule="auto"/>
        <w:jc w:val="both"/>
        <w:rPr>
          <w:rFonts w:eastAsia="Times New Roman"/>
          <w:color w:val="000000"/>
          <w:sz w:val="20"/>
          <w:szCs w:val="20"/>
        </w:rPr>
      </w:pPr>
      <w:r>
        <w:rPr>
          <w:rFonts w:eastAsia="Times New Roman" w:cs="Times New Roman"/>
          <w:color w:val="000000"/>
          <w:sz w:val="20"/>
          <w:szCs w:val="20"/>
        </w:rPr>
        <w:t>Where R is the distance to the hypocenter (km), D is the distance to the epicenter (km), and H is the depth of the earthquake (km).</w:t>
      </w:r>
    </w:p>
    <w:p w:rsidR="0039654A" w:rsidRDefault="0039654A" w:rsidP="0039654A">
      <w:pPr>
        <w:pStyle w:val="IJASEITParagraph"/>
        <w:spacing w:after="0" w:line="240" w:lineRule="auto"/>
        <w:ind w:firstLine="0"/>
      </w:pPr>
      <w:r>
        <w:rPr>
          <w:rFonts w:eastAsia="Times New Roman" w:cs="Times New Roman"/>
          <w:color w:val="000000"/>
          <w:szCs w:val="20"/>
        </w:rPr>
        <w:t xml:space="preserve">After obtaining the value of the epicenter distance and the value of the </w:t>
      </w:r>
      <w:proofErr w:type="spellStart"/>
      <w:r>
        <w:rPr>
          <w:rFonts w:eastAsia="Times New Roman" w:cs="Times New Roman"/>
          <w:color w:val="000000"/>
          <w:szCs w:val="20"/>
        </w:rPr>
        <w:t>hypocentre</w:t>
      </w:r>
      <w:proofErr w:type="spellEnd"/>
      <w:r>
        <w:rPr>
          <w:rFonts w:eastAsia="Times New Roman" w:cs="Times New Roman"/>
          <w:color w:val="000000"/>
          <w:szCs w:val="20"/>
        </w:rPr>
        <w:t xml:space="preserve"> distance from each earthquake that occurs, then these values are substituted into the empirical formula used, namely the empirical formula Mc. </w:t>
      </w:r>
      <w:proofErr w:type="spellStart"/>
      <w:r>
        <w:rPr>
          <w:rFonts w:eastAsia="Times New Roman" w:cs="Times New Roman"/>
          <w:color w:val="000000"/>
          <w:szCs w:val="20"/>
        </w:rPr>
        <w:t>Guire</w:t>
      </w:r>
      <w:proofErr w:type="spellEnd"/>
      <w:r>
        <w:rPr>
          <w:rFonts w:eastAsia="Times New Roman" w:cs="Times New Roman"/>
          <w:color w:val="000000"/>
          <w:szCs w:val="20"/>
        </w:rPr>
        <w:t xml:space="preserve">, Si and </w:t>
      </w:r>
      <w:proofErr w:type="spellStart"/>
      <w:r>
        <w:rPr>
          <w:rFonts w:eastAsia="Times New Roman" w:cs="Times New Roman"/>
          <w:color w:val="000000"/>
          <w:szCs w:val="20"/>
        </w:rPr>
        <w:t>Midorikawa</w:t>
      </w:r>
      <w:proofErr w:type="spellEnd"/>
      <w:r>
        <w:rPr>
          <w:rFonts w:eastAsia="Times New Roman" w:cs="Times New Roman"/>
          <w:color w:val="000000"/>
          <w:szCs w:val="20"/>
        </w:rPr>
        <w:t xml:space="preserve">, Fukushima-Tanaka, and Donovan. The peak ground acceleration value obtained from the calculation results using the four empirical formulas is validated with the ground acceleration value measured on the </w:t>
      </w:r>
      <w:proofErr w:type="spellStart"/>
      <w:r>
        <w:rPr>
          <w:rFonts w:eastAsia="Times New Roman" w:cs="Times New Roman"/>
          <w:color w:val="000000"/>
          <w:szCs w:val="20"/>
        </w:rPr>
        <w:t>accelerograph</w:t>
      </w:r>
      <w:proofErr w:type="spellEnd"/>
      <w:r>
        <w:rPr>
          <w:rFonts w:eastAsia="Times New Roman" w:cs="Times New Roman"/>
          <w:color w:val="000000"/>
          <w:szCs w:val="20"/>
        </w:rPr>
        <w:t xml:space="preserve">. The validation process is carried out by comparing the calculation results from the empirical formula with the values measured on the </w:t>
      </w:r>
      <w:proofErr w:type="spellStart"/>
      <w:r>
        <w:rPr>
          <w:rFonts w:eastAsia="Times New Roman" w:cs="Times New Roman"/>
          <w:color w:val="000000"/>
          <w:szCs w:val="20"/>
        </w:rPr>
        <w:t>accelerograph</w:t>
      </w:r>
      <w:proofErr w:type="spellEnd"/>
      <w:r>
        <w:rPr>
          <w:rFonts w:eastAsia="Times New Roman" w:cs="Times New Roman"/>
          <w:color w:val="000000"/>
          <w:szCs w:val="20"/>
        </w:rPr>
        <w:t>. This validation process produces an empirical formula that is suitable for use in calculating the peak ground acceleration value in the Padang City area.</w:t>
      </w:r>
    </w:p>
    <w:p w:rsidR="0039654A" w:rsidRDefault="0039654A" w:rsidP="00100E8F">
      <w:pPr>
        <w:pStyle w:val="IJASEITParagraph"/>
        <w:spacing w:line="240" w:lineRule="auto"/>
        <w:rPr>
          <w:lang w:val="en-GB"/>
        </w:rPr>
      </w:pPr>
      <w:r>
        <w:rPr>
          <w:rFonts w:eastAsia="Times New Roman" w:cs="Times New Roman"/>
          <w:color w:val="000000"/>
          <w:szCs w:val="20"/>
        </w:rPr>
        <w:t>Before calculating the peak ground acceleration value, first, the research area is on a grid with a distance of 0.02</w:t>
      </w:r>
      <w:r>
        <w:rPr>
          <w:rFonts w:ascii="Calibri" w:eastAsia="Calibri" w:hAnsi="Calibri" w:cs="Calibri"/>
          <w:color w:val="000000"/>
          <w:szCs w:val="20"/>
        </w:rPr>
        <w:t>°</w:t>
      </w:r>
      <w:r>
        <w:rPr>
          <w:rFonts w:eastAsia="Times New Roman" w:cs="Times New Roman"/>
          <w:color w:val="000000"/>
          <w:szCs w:val="20"/>
        </w:rPr>
        <w:t xml:space="preserve"> shown as in Figure 1, this is to ensure that the peak ground acceleration value obtained is accurate. From the process of dividing the research area, it was found that 196 calculation points were used to calculate the peak ground acceleration value in Padang City.</w:t>
      </w:r>
    </w:p>
    <w:p w:rsidR="00962D37" w:rsidRDefault="00962D37" w:rsidP="00962D37">
      <w:pPr>
        <w:pStyle w:val="IJASEITParagraph"/>
        <w:spacing w:after="0" w:line="240" w:lineRule="auto"/>
        <w:jc w:val="center"/>
        <w:rPr>
          <w:lang w:val="en-GB"/>
        </w:rPr>
      </w:pPr>
      <w:r>
        <w:rPr>
          <w:noProof/>
          <w:lang w:val="id-ID" w:eastAsia="id-ID"/>
        </w:rPr>
        <w:lastRenderedPageBreak/>
        <w:drawing>
          <wp:inline distT="0" distB="0" distL="0" distR="0" wp14:anchorId="1DC47BD6" wp14:editId="15CF73FF">
            <wp:extent cx="3080951" cy="261661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GRID NEWWWWW.bmp"/>
                    <pic:cNvPicPr/>
                  </pic:nvPicPr>
                  <pic:blipFill rotWithShape="1">
                    <a:blip r:embed="rId29" cstate="print">
                      <a:extLst>
                        <a:ext uri="{28A0092B-C50C-407E-A947-70E740481C1C}">
                          <a14:useLocalDpi xmlns:a14="http://schemas.microsoft.com/office/drawing/2010/main" val="0"/>
                        </a:ext>
                      </a:extLst>
                    </a:blip>
                    <a:srcRect t="17439" b="18867"/>
                    <a:stretch/>
                  </pic:blipFill>
                  <pic:spPr bwMode="auto">
                    <a:xfrm>
                      <a:off x="0" y="0"/>
                      <a:ext cx="3095184" cy="2628705"/>
                    </a:xfrm>
                    <a:prstGeom prst="rect">
                      <a:avLst/>
                    </a:prstGeom>
                    <a:ln>
                      <a:noFill/>
                    </a:ln>
                    <a:extLst>
                      <a:ext uri="{53640926-AAD7-44D8-BBD7-CCE9431645EC}">
                        <a14:shadowObscured xmlns:a14="http://schemas.microsoft.com/office/drawing/2010/main"/>
                      </a:ext>
                    </a:extLst>
                  </pic:spPr>
                </pic:pic>
              </a:graphicData>
            </a:graphic>
          </wp:inline>
        </w:drawing>
      </w:r>
    </w:p>
    <w:p w:rsidR="00962D37" w:rsidRPr="004700F1" w:rsidRDefault="004700F1" w:rsidP="00962D37">
      <w:pPr>
        <w:pStyle w:val="IJASEITParagraph"/>
        <w:spacing w:line="240" w:lineRule="auto"/>
        <w:jc w:val="center"/>
        <w:rPr>
          <w:b/>
          <w:lang w:val="en-GB"/>
        </w:rPr>
      </w:pPr>
      <w:r w:rsidRPr="004700F1">
        <w:rPr>
          <w:b/>
          <w:lang w:val="en-GB"/>
        </w:rPr>
        <w:t>Fig</w:t>
      </w:r>
      <w:r>
        <w:rPr>
          <w:b/>
          <w:lang w:val="en-GB"/>
        </w:rPr>
        <w:t>.</w:t>
      </w:r>
      <w:r w:rsidRPr="004700F1">
        <w:rPr>
          <w:b/>
          <w:lang w:val="en-GB"/>
        </w:rPr>
        <w:t>1.</w:t>
      </w:r>
      <w:r>
        <w:rPr>
          <w:b/>
          <w:lang w:val="en-GB"/>
        </w:rPr>
        <w:t xml:space="preserve"> </w:t>
      </w:r>
      <w:r>
        <w:rPr>
          <w:lang w:val="en-GB"/>
        </w:rPr>
        <w:t>Padang City area grid map</w:t>
      </w:r>
      <w:r w:rsidRPr="004700F1">
        <w:rPr>
          <w:b/>
          <w:lang w:val="en-GB"/>
        </w:rPr>
        <w:t xml:space="preserve"> </w:t>
      </w:r>
    </w:p>
    <w:p w:rsidR="00DB419C" w:rsidRDefault="00DB419C" w:rsidP="00DB419C">
      <w:pPr>
        <w:pBdr>
          <w:top w:val="nil"/>
          <w:left w:val="nil"/>
          <w:bottom w:val="nil"/>
          <w:right w:val="nil"/>
          <w:between w:val="nil"/>
        </w:pBdr>
        <w:spacing w:after="0" w:line="240" w:lineRule="auto"/>
        <w:ind w:firstLine="216"/>
        <w:jc w:val="both"/>
        <w:rPr>
          <w:rFonts w:eastAsia="Times New Roman"/>
          <w:color w:val="000000"/>
          <w:sz w:val="20"/>
          <w:szCs w:val="20"/>
        </w:rPr>
      </w:pPr>
      <w:r>
        <w:rPr>
          <w:rFonts w:eastAsia="Times New Roman" w:cs="Times New Roman"/>
          <w:color w:val="000000"/>
          <w:sz w:val="20"/>
          <w:szCs w:val="20"/>
        </w:rPr>
        <w:t xml:space="preserve">The distance of the earthquake epicenter coordinates to the coordinates at each grid point, calculated using equation 5 while the </w:t>
      </w:r>
      <w:proofErr w:type="spellStart"/>
      <w:r>
        <w:rPr>
          <w:rFonts w:eastAsia="Times New Roman" w:cs="Times New Roman"/>
          <w:color w:val="000000"/>
          <w:sz w:val="20"/>
          <w:szCs w:val="20"/>
        </w:rPr>
        <w:t>hypocentre</w:t>
      </w:r>
      <w:proofErr w:type="spellEnd"/>
      <w:r>
        <w:rPr>
          <w:rFonts w:eastAsia="Times New Roman" w:cs="Times New Roman"/>
          <w:color w:val="000000"/>
          <w:sz w:val="20"/>
          <w:szCs w:val="20"/>
        </w:rPr>
        <w:t xml:space="preserve"> distance from the earthquake source to the coordinates at each grid point is calculated using equation 6.</w:t>
      </w:r>
    </w:p>
    <w:p w:rsidR="004700F1" w:rsidRDefault="00DB419C" w:rsidP="00DB419C">
      <w:pPr>
        <w:pStyle w:val="IJASEITParagraph"/>
        <w:spacing w:line="240" w:lineRule="auto"/>
        <w:rPr>
          <w:lang w:val="en-GB"/>
        </w:rPr>
      </w:pPr>
      <w:r>
        <w:rPr>
          <w:rFonts w:eastAsia="Times New Roman" w:cs="Times New Roman"/>
          <w:color w:val="000000"/>
          <w:szCs w:val="20"/>
        </w:rPr>
        <w:t xml:space="preserve">Peak ground acceleration value for the Padang City area was calculated at each grid point using an empirical formula that is following the tectonic conditions of the City of Padang from the validation results of the data </w:t>
      </w:r>
      <w:proofErr w:type="spellStart"/>
      <w:r>
        <w:rPr>
          <w:rFonts w:eastAsia="Times New Roman" w:cs="Times New Roman"/>
          <w:color w:val="000000"/>
          <w:szCs w:val="20"/>
        </w:rPr>
        <w:t>accelerograph</w:t>
      </w:r>
      <w:proofErr w:type="spellEnd"/>
      <w:r>
        <w:rPr>
          <w:rFonts w:eastAsia="Times New Roman" w:cs="Times New Roman"/>
          <w:color w:val="000000"/>
          <w:szCs w:val="20"/>
        </w:rPr>
        <w:t xml:space="preserve">. The peak ground acceleration value obtained is converted to the MMI scale (Modified </w:t>
      </w:r>
      <w:proofErr w:type="spellStart"/>
      <w:r>
        <w:rPr>
          <w:rFonts w:eastAsia="Times New Roman" w:cs="Times New Roman"/>
          <w:color w:val="000000"/>
          <w:szCs w:val="20"/>
        </w:rPr>
        <w:t>Mercalli</w:t>
      </w:r>
      <w:proofErr w:type="spellEnd"/>
      <w:r>
        <w:rPr>
          <w:rFonts w:eastAsia="Times New Roman" w:cs="Times New Roman"/>
          <w:color w:val="000000"/>
          <w:szCs w:val="20"/>
        </w:rPr>
        <w:t xml:space="preserve"> Intensity) to determine the intensity of the earthquake that occurred.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150"/>
      </w:tblGrid>
      <w:tr w:rsidR="00007BB2" w:rsidTr="00A41493">
        <w:trPr>
          <w:jc w:val="center"/>
        </w:trPr>
        <w:tc>
          <w:tcPr>
            <w:tcW w:w="2988" w:type="dxa"/>
            <w:vAlign w:val="center"/>
          </w:tcPr>
          <w:p w:rsidR="00007BB2" w:rsidRDefault="00007BB2" w:rsidP="00100E8F">
            <w:pPr>
              <w:spacing w:line="240" w:lineRule="auto"/>
              <w:jc w:val="both"/>
              <w:rPr>
                <w:rFonts w:cs="Times New Roman"/>
                <w:sz w:val="20"/>
                <w:szCs w:val="20"/>
              </w:rPr>
            </w:pPr>
            <w:r w:rsidRPr="00007BB2">
              <w:rPr>
                <w:rFonts w:cs="Times New Roman"/>
                <w:i/>
                <w:position w:val="-10"/>
                <w:sz w:val="20"/>
                <w:szCs w:val="20"/>
              </w:rPr>
              <w:object w:dxaOrig="2799" w:dyaOrig="320">
                <v:shape id="_x0000_i1031" type="#_x0000_t75" style="width:138.8pt;height:16.15pt" o:ole="">
                  <v:imagedata r:id="rId30" o:title=""/>
                </v:shape>
                <o:OLEObject Type="Embed" ProgID="Equation.3" ShapeID="_x0000_i1031" DrawAspect="Content" ObjectID="_1696702694" r:id="rId31"/>
              </w:object>
            </w:r>
          </w:p>
        </w:tc>
        <w:tc>
          <w:tcPr>
            <w:tcW w:w="2150" w:type="dxa"/>
            <w:vAlign w:val="center"/>
          </w:tcPr>
          <w:p w:rsidR="00007BB2" w:rsidRDefault="00007BB2" w:rsidP="00100E8F">
            <w:pPr>
              <w:spacing w:line="240" w:lineRule="auto"/>
              <w:jc w:val="right"/>
              <w:rPr>
                <w:rFonts w:cs="Times New Roman"/>
                <w:sz w:val="20"/>
                <w:szCs w:val="20"/>
              </w:rPr>
            </w:pPr>
            <w:r>
              <w:rPr>
                <w:rFonts w:cs="Times New Roman"/>
                <w:sz w:val="20"/>
                <w:szCs w:val="20"/>
              </w:rPr>
              <w:t>(7)</w:t>
            </w:r>
          </w:p>
        </w:tc>
      </w:tr>
    </w:tbl>
    <w:p w:rsidR="00A41493" w:rsidRDefault="00A41493" w:rsidP="00A41493">
      <w:pPr>
        <w:pBdr>
          <w:top w:val="nil"/>
          <w:left w:val="nil"/>
          <w:bottom w:val="nil"/>
          <w:right w:val="nil"/>
          <w:between w:val="nil"/>
        </w:pBdr>
        <w:spacing w:after="0" w:line="240" w:lineRule="auto"/>
        <w:ind w:firstLine="216"/>
        <w:jc w:val="both"/>
        <w:rPr>
          <w:rFonts w:eastAsia="Times New Roman"/>
          <w:color w:val="000000"/>
          <w:sz w:val="20"/>
          <w:szCs w:val="20"/>
        </w:rPr>
      </w:pPr>
      <w:r>
        <w:rPr>
          <w:rFonts w:eastAsia="Times New Roman" w:cs="Times New Roman"/>
          <w:color w:val="000000"/>
          <w:sz w:val="20"/>
          <w:szCs w:val="20"/>
        </w:rPr>
        <w:t xml:space="preserve">The next step is to make a contour map of the peak ground acceleration value and earthquake intensity </w:t>
      </w:r>
      <w:r w:rsidR="00237363">
        <w:rPr>
          <w:rFonts w:eastAsia="Times New Roman" w:cs="Times New Roman"/>
          <w:color w:val="000000"/>
          <w:sz w:val="20"/>
          <w:szCs w:val="20"/>
        </w:rPr>
        <w:t xml:space="preserve">for the city of Padang, using </w:t>
      </w:r>
      <w:r>
        <w:rPr>
          <w:rFonts w:eastAsia="Times New Roman" w:cs="Times New Roman"/>
          <w:color w:val="000000"/>
          <w:sz w:val="20"/>
          <w:szCs w:val="20"/>
        </w:rPr>
        <w:t>the</w:t>
      </w:r>
      <w:r w:rsidR="00237363">
        <w:rPr>
          <w:rFonts w:eastAsia="Times New Roman" w:cs="Times New Roman"/>
          <w:color w:val="000000"/>
          <w:sz w:val="20"/>
          <w:szCs w:val="20"/>
        </w:rPr>
        <w:t xml:space="preserve"> peak ground acceleration value obtained from the calculation using an empirical formula that is close to the peak ground acceleration value measured on the </w:t>
      </w:r>
      <w:proofErr w:type="spellStart"/>
      <w:r w:rsidR="00237363">
        <w:rPr>
          <w:rFonts w:eastAsia="Times New Roman" w:cs="Times New Roman"/>
          <w:color w:val="000000"/>
          <w:sz w:val="20"/>
          <w:szCs w:val="20"/>
        </w:rPr>
        <w:t>accelerograph</w:t>
      </w:r>
      <w:proofErr w:type="spellEnd"/>
      <w:r w:rsidR="00237363">
        <w:rPr>
          <w:rFonts w:eastAsia="Times New Roman" w:cs="Times New Roman"/>
          <w:color w:val="000000"/>
          <w:sz w:val="20"/>
          <w:szCs w:val="20"/>
        </w:rPr>
        <w:t>. The map was created using the help of ArcGIS software and Surfer.</w:t>
      </w:r>
    </w:p>
    <w:p w:rsidR="001B72FC" w:rsidRPr="00FB0E33" w:rsidRDefault="00A41493" w:rsidP="00A41493">
      <w:pPr>
        <w:pStyle w:val="IJASEITParagraph"/>
        <w:spacing w:after="0" w:line="240" w:lineRule="auto"/>
        <w:rPr>
          <w:rFonts w:eastAsiaTheme="minorEastAsia"/>
          <w:lang w:val="en-GB"/>
        </w:rPr>
      </w:pPr>
      <w:r>
        <w:rPr>
          <w:rFonts w:eastAsia="Times New Roman" w:cs="Times New Roman"/>
          <w:color w:val="000000"/>
          <w:szCs w:val="20"/>
        </w:rPr>
        <w:t xml:space="preserve">The size of the peak ground acceleration value in an area indicates the risk of an earthquake. Every earthquake that occurs in an area will cause a peak ground acceleration value obtained from direct measurements using </w:t>
      </w:r>
      <w:proofErr w:type="spellStart"/>
      <w:r>
        <w:rPr>
          <w:rFonts w:eastAsia="Times New Roman" w:cs="Times New Roman"/>
          <w:color w:val="000000"/>
          <w:szCs w:val="20"/>
        </w:rPr>
        <w:t>accelerographs</w:t>
      </w:r>
      <w:proofErr w:type="spellEnd"/>
      <w:r>
        <w:rPr>
          <w:rFonts w:eastAsia="Times New Roman" w:cs="Times New Roman"/>
          <w:color w:val="000000"/>
          <w:szCs w:val="20"/>
        </w:rPr>
        <w:t xml:space="preserve"> or by calculations using empirical formulas. This is useful for disaster mitigation to reduce the impact of damage caused by earthquakes.</w:t>
      </w:r>
    </w:p>
    <w:p w:rsidR="00EC61AE" w:rsidRPr="00EC61AE" w:rsidRDefault="00E0246B" w:rsidP="00EC61AE">
      <w:pPr>
        <w:pStyle w:val="Heading1"/>
        <w:numPr>
          <w:ilvl w:val="0"/>
          <w:numId w:val="5"/>
        </w:numPr>
        <w:spacing w:before="240" w:after="240" w:line="276" w:lineRule="auto"/>
        <w:ind w:left="0" w:firstLine="0"/>
        <w:jc w:val="left"/>
        <w:rPr>
          <w:bCs/>
          <w:sz w:val="21"/>
        </w:rPr>
      </w:pPr>
      <w:sdt>
        <w:sdtPr>
          <w:rPr>
            <w:bCs/>
            <w:sz w:val="21"/>
            <w:lang w:val="id-ID"/>
          </w:rPr>
          <w:id w:val="92756878"/>
          <w:text/>
        </w:sdtPr>
        <w:sdtEndPr/>
        <w:sdtContent>
          <w:r w:rsidR="00F87AFD">
            <w:rPr>
              <w:bCs/>
              <w:sz w:val="21"/>
            </w:rPr>
            <w:t>RESULTS AND DISCUSSION</w:t>
          </w:r>
        </w:sdtContent>
      </w:sdt>
    </w:p>
    <w:p w:rsidR="001B72FC" w:rsidRDefault="00EC61AE" w:rsidP="00EC61AE">
      <w:pPr>
        <w:spacing w:line="240" w:lineRule="auto"/>
        <w:ind w:firstLine="432"/>
        <w:jc w:val="both"/>
        <w:rPr>
          <w:rFonts w:eastAsia="SimSun" w:cs="Times New Roman"/>
          <w:sz w:val="20"/>
          <w:szCs w:val="20"/>
        </w:rPr>
      </w:pPr>
      <w:r>
        <w:rPr>
          <w:sz w:val="20"/>
          <w:szCs w:val="20"/>
        </w:rPr>
        <w:t xml:space="preserve">The results obtained from this study are the peak ground acceleration value and earthquake intensity using an empirical formula based on the validation process between the peak ground acceleration value data using an empirical formula and the peak ground acceleration value data recorded on the </w:t>
      </w:r>
      <w:proofErr w:type="spellStart"/>
      <w:r>
        <w:rPr>
          <w:sz w:val="20"/>
          <w:szCs w:val="20"/>
        </w:rPr>
        <w:t>accelerograph</w:t>
      </w:r>
      <w:proofErr w:type="spellEnd"/>
      <w:r>
        <w:rPr>
          <w:sz w:val="20"/>
          <w:szCs w:val="20"/>
        </w:rPr>
        <w:t xml:space="preserve">. This validation process is carried out by comparing the peak ground acceleration value from the calculation results using an empirical formula with the data measured on the </w:t>
      </w:r>
      <w:proofErr w:type="spellStart"/>
      <w:r>
        <w:rPr>
          <w:sz w:val="20"/>
          <w:szCs w:val="20"/>
        </w:rPr>
        <w:t>accelerograph</w:t>
      </w:r>
      <w:proofErr w:type="spellEnd"/>
      <w:r>
        <w:rPr>
          <w:sz w:val="20"/>
          <w:szCs w:val="20"/>
        </w:rPr>
        <w:t xml:space="preserve">. The validation process is useful for finding the appropriate empirical formula used to calculate the peak ground acceleration value in Padang City based on the smallest average error percentage of the four empirical formulas used. The graph of the comparison of the peak ground acceleration value from </w:t>
      </w:r>
      <w:proofErr w:type="spellStart"/>
      <w:r>
        <w:rPr>
          <w:sz w:val="20"/>
          <w:szCs w:val="20"/>
        </w:rPr>
        <w:t>accelerograph</w:t>
      </w:r>
      <w:proofErr w:type="spellEnd"/>
      <w:r>
        <w:rPr>
          <w:sz w:val="20"/>
          <w:szCs w:val="20"/>
        </w:rPr>
        <w:t xml:space="preserve"> data with the calculation results using the empirical formula can be seen in Figure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791"/>
      </w:tblGrid>
      <w:tr w:rsidR="00EF2229" w:rsidTr="00660A28">
        <w:tc>
          <w:tcPr>
            <w:tcW w:w="4497" w:type="dxa"/>
          </w:tcPr>
          <w:p w:rsidR="00EF2229" w:rsidRDefault="00EF2229" w:rsidP="00660A28">
            <w:pPr>
              <w:spacing w:after="0" w:line="240" w:lineRule="auto"/>
              <w:jc w:val="center"/>
              <w:rPr>
                <w:rFonts w:cs="Times New Roman"/>
                <w:sz w:val="20"/>
                <w:szCs w:val="20"/>
              </w:rPr>
            </w:pPr>
            <w:r>
              <w:rPr>
                <w:noProof/>
                <w:lang w:val="id-ID" w:eastAsia="id-ID"/>
              </w:rPr>
              <w:lastRenderedPageBreak/>
              <w:drawing>
                <wp:inline distT="0" distB="0" distL="0" distR="0" wp14:anchorId="0698C633" wp14:editId="2DF855AA">
                  <wp:extent cx="2750515" cy="1931213"/>
                  <wp:effectExtent l="0" t="0" r="12065" b="1206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60A28" w:rsidRDefault="00660A28" w:rsidP="00660A28">
            <w:pPr>
              <w:spacing w:after="0" w:line="240" w:lineRule="auto"/>
              <w:jc w:val="center"/>
              <w:rPr>
                <w:rFonts w:cs="Times New Roman"/>
                <w:sz w:val="20"/>
                <w:szCs w:val="20"/>
              </w:rPr>
            </w:pPr>
            <w:r>
              <w:rPr>
                <w:rFonts w:cs="Times New Roman"/>
                <w:sz w:val="20"/>
                <w:szCs w:val="20"/>
              </w:rPr>
              <w:t>(a)</w:t>
            </w:r>
          </w:p>
        </w:tc>
        <w:tc>
          <w:tcPr>
            <w:tcW w:w="4791" w:type="dxa"/>
          </w:tcPr>
          <w:p w:rsidR="00EF2229" w:rsidRDefault="00660A28" w:rsidP="00660A28">
            <w:pPr>
              <w:spacing w:after="0" w:line="240" w:lineRule="auto"/>
              <w:jc w:val="center"/>
              <w:rPr>
                <w:rFonts w:cs="Times New Roman"/>
                <w:sz w:val="20"/>
                <w:szCs w:val="20"/>
              </w:rPr>
            </w:pPr>
            <w:r>
              <w:rPr>
                <w:noProof/>
                <w:lang w:val="id-ID" w:eastAsia="id-ID"/>
              </w:rPr>
              <w:drawing>
                <wp:inline distT="0" distB="0" distL="0" distR="0" wp14:anchorId="13FD8E39" wp14:editId="0145D589">
                  <wp:extent cx="2933395" cy="1931213"/>
                  <wp:effectExtent l="0" t="0" r="19685" b="1206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60A28" w:rsidRDefault="00660A28" w:rsidP="00660A28">
            <w:pPr>
              <w:spacing w:after="0" w:line="240" w:lineRule="auto"/>
              <w:jc w:val="center"/>
              <w:rPr>
                <w:rFonts w:cs="Times New Roman"/>
                <w:sz w:val="20"/>
                <w:szCs w:val="20"/>
              </w:rPr>
            </w:pPr>
            <w:r>
              <w:rPr>
                <w:rFonts w:cs="Times New Roman"/>
                <w:sz w:val="20"/>
                <w:szCs w:val="20"/>
              </w:rPr>
              <w:t>(b)</w:t>
            </w:r>
          </w:p>
        </w:tc>
      </w:tr>
      <w:tr w:rsidR="00EF2229" w:rsidTr="00660A28">
        <w:tc>
          <w:tcPr>
            <w:tcW w:w="4497" w:type="dxa"/>
          </w:tcPr>
          <w:p w:rsidR="00EF2229" w:rsidRDefault="00660A28" w:rsidP="00660A28">
            <w:pPr>
              <w:spacing w:after="0" w:line="240" w:lineRule="auto"/>
              <w:jc w:val="center"/>
              <w:rPr>
                <w:rFonts w:cs="Times New Roman"/>
                <w:sz w:val="20"/>
                <w:szCs w:val="20"/>
              </w:rPr>
            </w:pPr>
            <w:r>
              <w:rPr>
                <w:noProof/>
                <w:lang w:val="id-ID" w:eastAsia="id-ID"/>
              </w:rPr>
              <w:drawing>
                <wp:inline distT="0" distB="0" distL="0" distR="0" wp14:anchorId="588762A3" wp14:editId="5CDFF655">
                  <wp:extent cx="2757830" cy="1858060"/>
                  <wp:effectExtent l="0" t="0" r="23495" b="2794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60A28" w:rsidRDefault="00660A28" w:rsidP="00660A28">
            <w:pPr>
              <w:spacing w:after="0" w:line="240" w:lineRule="auto"/>
              <w:jc w:val="center"/>
              <w:rPr>
                <w:rFonts w:cs="Times New Roman"/>
                <w:sz w:val="20"/>
                <w:szCs w:val="20"/>
              </w:rPr>
            </w:pPr>
            <w:r>
              <w:rPr>
                <w:rFonts w:cs="Times New Roman"/>
                <w:sz w:val="20"/>
                <w:szCs w:val="20"/>
              </w:rPr>
              <w:t>(c)</w:t>
            </w:r>
          </w:p>
        </w:tc>
        <w:tc>
          <w:tcPr>
            <w:tcW w:w="4791" w:type="dxa"/>
          </w:tcPr>
          <w:p w:rsidR="00EF2229" w:rsidRDefault="00660A28" w:rsidP="00660A28">
            <w:pPr>
              <w:spacing w:after="0" w:line="240" w:lineRule="auto"/>
              <w:jc w:val="center"/>
              <w:rPr>
                <w:rFonts w:cs="Times New Roman"/>
                <w:sz w:val="20"/>
                <w:szCs w:val="20"/>
              </w:rPr>
            </w:pPr>
            <w:r>
              <w:rPr>
                <w:noProof/>
                <w:lang w:val="id-ID" w:eastAsia="id-ID"/>
              </w:rPr>
              <w:drawing>
                <wp:inline distT="0" distB="0" distL="0" distR="0" wp14:anchorId="16FA0308" wp14:editId="10530FD1">
                  <wp:extent cx="2948026" cy="1858060"/>
                  <wp:effectExtent l="0" t="0" r="24130" b="279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60A28" w:rsidRDefault="00660A28" w:rsidP="00660A28">
            <w:pPr>
              <w:spacing w:after="0" w:line="240" w:lineRule="auto"/>
              <w:jc w:val="center"/>
              <w:rPr>
                <w:rFonts w:cs="Times New Roman"/>
                <w:sz w:val="20"/>
                <w:szCs w:val="20"/>
              </w:rPr>
            </w:pPr>
            <w:r>
              <w:rPr>
                <w:rFonts w:cs="Times New Roman"/>
                <w:sz w:val="20"/>
                <w:szCs w:val="20"/>
              </w:rPr>
              <w:t>(d)</w:t>
            </w:r>
          </w:p>
        </w:tc>
      </w:tr>
    </w:tbl>
    <w:p w:rsidR="003C2629" w:rsidRDefault="003C2629" w:rsidP="00660A28">
      <w:pPr>
        <w:spacing w:line="240" w:lineRule="auto"/>
        <w:jc w:val="center"/>
        <w:rPr>
          <w:rFonts w:cs="Times New Roman"/>
          <w:sz w:val="20"/>
          <w:szCs w:val="20"/>
        </w:rPr>
      </w:pPr>
      <w:r w:rsidRPr="003C2629">
        <w:rPr>
          <w:rFonts w:cs="Times New Roman"/>
          <w:b/>
          <w:sz w:val="20"/>
          <w:szCs w:val="20"/>
        </w:rPr>
        <w:t>Fig.2.</w:t>
      </w:r>
      <w:r>
        <w:rPr>
          <w:rFonts w:cs="Times New Roman"/>
          <w:sz w:val="20"/>
          <w:szCs w:val="20"/>
        </w:rPr>
        <w:t xml:space="preserve"> The graph of the comparison of the peak ground acceleration value from the </w:t>
      </w:r>
      <w:proofErr w:type="spellStart"/>
      <w:r>
        <w:rPr>
          <w:rFonts w:cs="Times New Roman"/>
          <w:sz w:val="20"/>
          <w:szCs w:val="20"/>
        </w:rPr>
        <w:t>accelerograph</w:t>
      </w:r>
      <w:proofErr w:type="spellEnd"/>
      <w:r>
        <w:rPr>
          <w:rFonts w:cs="Times New Roman"/>
          <w:sz w:val="20"/>
          <w:szCs w:val="20"/>
        </w:rPr>
        <w:t xml:space="preserve"> with (a) the Mc. </w:t>
      </w:r>
      <w:proofErr w:type="spellStart"/>
      <w:r>
        <w:rPr>
          <w:rFonts w:cs="Times New Roman"/>
          <w:sz w:val="20"/>
          <w:szCs w:val="20"/>
        </w:rPr>
        <w:t>Guire</w:t>
      </w:r>
      <w:proofErr w:type="spellEnd"/>
      <w:r>
        <w:rPr>
          <w:rFonts w:cs="Times New Roman"/>
          <w:sz w:val="20"/>
          <w:szCs w:val="20"/>
        </w:rPr>
        <w:t xml:space="preserve">, (b) the Si and </w:t>
      </w:r>
      <w:proofErr w:type="spellStart"/>
      <w:r>
        <w:rPr>
          <w:rFonts w:cs="Times New Roman"/>
          <w:sz w:val="20"/>
          <w:szCs w:val="20"/>
        </w:rPr>
        <w:t>Midorikawa</w:t>
      </w:r>
      <w:proofErr w:type="spellEnd"/>
      <w:r>
        <w:rPr>
          <w:rFonts w:cs="Times New Roman"/>
          <w:sz w:val="20"/>
          <w:szCs w:val="20"/>
        </w:rPr>
        <w:t>, (c) the Fukushima-Tanaka, and (d) the Donovan formula</w:t>
      </w:r>
    </w:p>
    <w:p w:rsidR="00EC61AE" w:rsidRDefault="00EC61AE" w:rsidP="00EC61AE">
      <w:pPr>
        <w:spacing w:after="0" w:line="240" w:lineRule="auto"/>
        <w:ind w:firstLine="432"/>
        <w:jc w:val="both"/>
        <w:rPr>
          <w:sz w:val="20"/>
          <w:szCs w:val="20"/>
        </w:rPr>
      </w:pPr>
      <w:r>
        <w:rPr>
          <w:sz w:val="20"/>
          <w:szCs w:val="20"/>
        </w:rPr>
        <w:t xml:space="preserve">Figure 2 shows the results of validating the peak ground acceleration data using an empirical formula with an </w:t>
      </w:r>
      <w:proofErr w:type="spellStart"/>
      <w:r>
        <w:rPr>
          <w:sz w:val="20"/>
          <w:szCs w:val="20"/>
        </w:rPr>
        <w:t>accelerograph</w:t>
      </w:r>
      <w:proofErr w:type="spellEnd"/>
      <w:r>
        <w:rPr>
          <w:sz w:val="20"/>
          <w:szCs w:val="20"/>
        </w:rPr>
        <w:t xml:space="preserve"> where the largest average error percentage is in the Donovan formula, which is 2522%. This is because this formula is not appropriate for earthquakes originating in the </w:t>
      </w:r>
      <w:proofErr w:type="spellStart"/>
      <w:r>
        <w:rPr>
          <w:sz w:val="20"/>
          <w:szCs w:val="20"/>
        </w:rPr>
        <w:t>Subduction</w:t>
      </w:r>
      <w:proofErr w:type="spellEnd"/>
      <w:r>
        <w:rPr>
          <w:sz w:val="20"/>
          <w:szCs w:val="20"/>
        </w:rPr>
        <w:t xml:space="preserve"> Zone. After all, Donovan’s formula has been used to calculate the peak ground acceleration value based on the recording of the earthquakes that occurred in San Fernando with earthquake sources originating from faults. While the smallest average error percentage is found in the Fukushima-Tanaka formula, which is 115%. This is because the Fukushima-Tanaka formula was used to calculate the peak ground acceleration value in the Japanese Islands with the earthquake source coming from the </w:t>
      </w:r>
      <w:proofErr w:type="spellStart"/>
      <w:r>
        <w:rPr>
          <w:sz w:val="20"/>
          <w:szCs w:val="20"/>
        </w:rPr>
        <w:t>Subduction</w:t>
      </w:r>
      <w:proofErr w:type="spellEnd"/>
      <w:r>
        <w:rPr>
          <w:sz w:val="20"/>
          <w:szCs w:val="20"/>
        </w:rPr>
        <w:t xml:space="preserve"> Zone. In terms of tectonic conditions, the Japanese Islands have</w:t>
      </w:r>
      <w:r w:rsidR="00396CEC">
        <w:rPr>
          <w:sz w:val="20"/>
          <w:szCs w:val="20"/>
        </w:rPr>
        <w:t xml:space="preserve"> the same tectonic conditions as</w:t>
      </w:r>
      <w:r>
        <w:rPr>
          <w:sz w:val="20"/>
          <w:szCs w:val="20"/>
        </w:rPr>
        <w:t xml:space="preserve"> the </w:t>
      </w:r>
      <w:proofErr w:type="spellStart"/>
      <w:r>
        <w:rPr>
          <w:sz w:val="20"/>
          <w:szCs w:val="20"/>
        </w:rPr>
        <w:t>Mentawai</w:t>
      </w:r>
      <w:proofErr w:type="spellEnd"/>
      <w:r>
        <w:rPr>
          <w:sz w:val="20"/>
          <w:szCs w:val="20"/>
        </w:rPr>
        <w:t xml:space="preserve"> Islands region, namely the form of plate faults.</w:t>
      </w:r>
    </w:p>
    <w:p w:rsidR="00EC61AE" w:rsidRDefault="00EC61AE" w:rsidP="00EC61AE">
      <w:pPr>
        <w:spacing w:after="0" w:line="240" w:lineRule="auto"/>
        <w:ind w:firstLine="432"/>
        <w:jc w:val="both"/>
        <w:rPr>
          <w:sz w:val="20"/>
          <w:szCs w:val="20"/>
        </w:rPr>
      </w:pPr>
      <w:r>
        <w:rPr>
          <w:sz w:val="20"/>
          <w:szCs w:val="20"/>
        </w:rPr>
        <w:t xml:space="preserve">From the results of the comparison of the peak ground acceleration value using an empirical formula with the peak ground acceleration value using </w:t>
      </w:r>
      <w:proofErr w:type="spellStart"/>
      <w:r>
        <w:rPr>
          <w:sz w:val="20"/>
          <w:szCs w:val="20"/>
        </w:rPr>
        <w:t>accelerograph</w:t>
      </w:r>
      <w:proofErr w:type="spellEnd"/>
      <w:r>
        <w:rPr>
          <w:sz w:val="20"/>
          <w:szCs w:val="20"/>
        </w:rPr>
        <w:t xml:space="preserve"> data, it was found that the Fukushima-Tanaka formula is suitable for use in calculating the peak ground acceleration value in Padang City. This is because the Fukushima-Tanaka formula was once used to calculate the peak ground acceleration value in the Japanese Islands using earthquake data sourced in the </w:t>
      </w:r>
      <w:proofErr w:type="spellStart"/>
      <w:r>
        <w:rPr>
          <w:sz w:val="20"/>
          <w:szCs w:val="20"/>
        </w:rPr>
        <w:t>Subduction</w:t>
      </w:r>
      <w:proofErr w:type="spellEnd"/>
      <w:r>
        <w:rPr>
          <w:sz w:val="20"/>
          <w:szCs w:val="20"/>
        </w:rPr>
        <w:t xml:space="preserve"> Zone. </w:t>
      </w:r>
    </w:p>
    <w:p w:rsidR="00EF2229" w:rsidRDefault="00EC61AE" w:rsidP="00EC61AE">
      <w:pPr>
        <w:spacing w:after="0" w:line="240" w:lineRule="auto"/>
        <w:ind w:firstLine="432"/>
        <w:jc w:val="both"/>
        <w:rPr>
          <w:rFonts w:cs="Times New Roman"/>
          <w:sz w:val="20"/>
          <w:szCs w:val="20"/>
        </w:rPr>
      </w:pPr>
      <w:r>
        <w:rPr>
          <w:sz w:val="20"/>
          <w:szCs w:val="20"/>
        </w:rPr>
        <w:t>Based on the results of the calculation of the peak ground acceleration value in Padang City using the Fukushima-Tanaka formula, the peak ground acceleration value of Padang City is 60.5-73.5 gal as shown in Figure 3.</w:t>
      </w:r>
    </w:p>
    <w:p w:rsidR="001B291B" w:rsidRDefault="001B291B" w:rsidP="001B291B">
      <w:pPr>
        <w:spacing w:after="0" w:line="240" w:lineRule="auto"/>
        <w:jc w:val="center"/>
        <w:rPr>
          <w:rFonts w:cs="Times New Roman"/>
          <w:sz w:val="20"/>
          <w:szCs w:val="20"/>
        </w:rPr>
      </w:pPr>
      <w:r>
        <w:rPr>
          <w:rFonts w:eastAsia="Times New Roman" w:cs="Times New Roman"/>
          <w:noProof/>
          <w:szCs w:val="24"/>
          <w:lang w:val="id-ID" w:eastAsia="id-ID"/>
        </w:rPr>
        <w:lastRenderedPageBreak/>
        <w:drawing>
          <wp:inline distT="0" distB="0" distL="0" distR="0" wp14:anchorId="7C59FED6" wp14:editId="239250E7">
            <wp:extent cx="2743200" cy="2743200"/>
            <wp:effectExtent l="0" t="0" r="0" b="0"/>
            <wp:docPr id="4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6"/>
                    <a:srcRect l="15501"/>
                    <a:stretch>
                      <a:fillRect/>
                    </a:stretch>
                  </pic:blipFill>
                  <pic:spPr>
                    <a:xfrm>
                      <a:off x="0" y="0"/>
                      <a:ext cx="2743200" cy="2743200"/>
                    </a:xfrm>
                    <a:prstGeom prst="rect">
                      <a:avLst/>
                    </a:prstGeom>
                    <a:ln/>
                  </pic:spPr>
                </pic:pic>
              </a:graphicData>
            </a:graphic>
          </wp:inline>
        </w:drawing>
      </w:r>
    </w:p>
    <w:p w:rsidR="00EE6083" w:rsidRPr="00EE6083" w:rsidRDefault="00EE6083" w:rsidP="00EE6083">
      <w:pPr>
        <w:spacing w:line="240" w:lineRule="auto"/>
        <w:jc w:val="center"/>
        <w:rPr>
          <w:rFonts w:cs="Times New Roman"/>
          <w:sz w:val="20"/>
          <w:szCs w:val="20"/>
        </w:rPr>
      </w:pPr>
      <w:r>
        <w:rPr>
          <w:rFonts w:cs="Times New Roman"/>
          <w:b/>
          <w:sz w:val="20"/>
          <w:szCs w:val="20"/>
        </w:rPr>
        <w:t xml:space="preserve">Fig.3. </w:t>
      </w:r>
      <w:r>
        <w:rPr>
          <w:rFonts w:cs="Times New Roman"/>
          <w:sz w:val="20"/>
          <w:szCs w:val="20"/>
        </w:rPr>
        <w:t>Map of the peak ground acceleration of the Padang City area</w:t>
      </w:r>
    </w:p>
    <w:p w:rsidR="001B291B" w:rsidRDefault="00737921" w:rsidP="00737921">
      <w:pPr>
        <w:spacing w:line="240" w:lineRule="auto"/>
        <w:ind w:firstLine="432"/>
        <w:jc w:val="both"/>
        <w:rPr>
          <w:rFonts w:cs="Times New Roman"/>
          <w:sz w:val="20"/>
          <w:szCs w:val="20"/>
        </w:rPr>
      </w:pPr>
      <w:r>
        <w:rPr>
          <w:sz w:val="20"/>
          <w:szCs w:val="20"/>
        </w:rPr>
        <w:t xml:space="preserve">Figure 3 shows the distribution of the peak ground acceleration value for Padang City. Based on the map, it is known that the highest peak ground acceleration value is in </w:t>
      </w:r>
      <w:proofErr w:type="spellStart"/>
      <w:r>
        <w:rPr>
          <w:sz w:val="20"/>
          <w:szCs w:val="20"/>
        </w:rPr>
        <w:t>Bungus</w:t>
      </w:r>
      <w:proofErr w:type="spellEnd"/>
      <w:r>
        <w:rPr>
          <w:sz w:val="20"/>
          <w:szCs w:val="20"/>
        </w:rPr>
        <w:t xml:space="preserve"> </w:t>
      </w:r>
      <w:proofErr w:type="spellStart"/>
      <w:r>
        <w:rPr>
          <w:sz w:val="20"/>
          <w:szCs w:val="20"/>
        </w:rPr>
        <w:t>Teluk</w:t>
      </w:r>
      <w:proofErr w:type="spellEnd"/>
      <w:r>
        <w:rPr>
          <w:sz w:val="20"/>
          <w:szCs w:val="20"/>
        </w:rPr>
        <w:t xml:space="preserve"> </w:t>
      </w:r>
      <w:proofErr w:type="spellStart"/>
      <w:r>
        <w:rPr>
          <w:sz w:val="20"/>
          <w:szCs w:val="20"/>
        </w:rPr>
        <w:t>Kabung</w:t>
      </w:r>
      <w:proofErr w:type="spellEnd"/>
      <w:r>
        <w:rPr>
          <w:sz w:val="20"/>
          <w:szCs w:val="20"/>
        </w:rPr>
        <w:t xml:space="preserve"> District, which is 69-73 gal. While the lowest peak ground acceleration value is in Koto </w:t>
      </w:r>
      <w:proofErr w:type="spellStart"/>
      <w:r>
        <w:rPr>
          <w:sz w:val="20"/>
          <w:szCs w:val="20"/>
        </w:rPr>
        <w:t>Tangah</w:t>
      </w:r>
      <w:proofErr w:type="spellEnd"/>
      <w:r>
        <w:rPr>
          <w:sz w:val="20"/>
          <w:szCs w:val="20"/>
        </w:rPr>
        <w:t xml:space="preserve"> District, which is 60-65.5 gal. The peak ground acceleration value obtained from the calculation using the empirical formula is converted to the MMI scale to determine the level of intensity of the earthquake that occurred in the city of Padang. The distribution of earthquake intensity levels in Padang City is shown in Figure 4.</w:t>
      </w:r>
    </w:p>
    <w:p w:rsidR="001B291B" w:rsidRDefault="001B291B" w:rsidP="001B291B">
      <w:pPr>
        <w:spacing w:after="0" w:line="240" w:lineRule="auto"/>
        <w:jc w:val="center"/>
        <w:rPr>
          <w:rFonts w:cs="Times New Roman"/>
          <w:sz w:val="20"/>
          <w:szCs w:val="20"/>
        </w:rPr>
      </w:pPr>
      <w:r>
        <w:rPr>
          <w:rFonts w:eastAsia="Times New Roman" w:cs="Times New Roman"/>
          <w:noProof/>
          <w:szCs w:val="24"/>
          <w:lang w:val="id-ID" w:eastAsia="id-ID"/>
        </w:rPr>
        <w:drawing>
          <wp:inline distT="0" distB="0" distL="0" distR="0" wp14:anchorId="0351B1D1" wp14:editId="701F461C">
            <wp:extent cx="2743200" cy="2743200"/>
            <wp:effectExtent l="0" t="0" r="0" b="0"/>
            <wp:docPr id="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7"/>
                    <a:srcRect l="15123"/>
                    <a:stretch>
                      <a:fillRect/>
                    </a:stretch>
                  </pic:blipFill>
                  <pic:spPr>
                    <a:xfrm>
                      <a:off x="0" y="0"/>
                      <a:ext cx="2743200" cy="2743200"/>
                    </a:xfrm>
                    <a:prstGeom prst="rect">
                      <a:avLst/>
                    </a:prstGeom>
                    <a:ln/>
                  </pic:spPr>
                </pic:pic>
              </a:graphicData>
            </a:graphic>
          </wp:inline>
        </w:drawing>
      </w:r>
    </w:p>
    <w:p w:rsidR="00737921" w:rsidRDefault="007A3AB1" w:rsidP="00737921">
      <w:pPr>
        <w:spacing w:line="240" w:lineRule="auto"/>
        <w:jc w:val="center"/>
        <w:rPr>
          <w:rFonts w:cs="Times New Roman"/>
          <w:sz w:val="20"/>
          <w:szCs w:val="20"/>
        </w:rPr>
      </w:pPr>
      <w:r>
        <w:rPr>
          <w:rFonts w:cs="Times New Roman"/>
          <w:b/>
          <w:sz w:val="20"/>
          <w:szCs w:val="20"/>
        </w:rPr>
        <w:t xml:space="preserve">Fig.4. </w:t>
      </w:r>
      <w:r>
        <w:rPr>
          <w:rFonts w:cs="Times New Roman"/>
          <w:sz w:val="20"/>
          <w:szCs w:val="20"/>
        </w:rPr>
        <w:t>Map of earthquake intensity zones in Padang City</w:t>
      </w:r>
      <w:r w:rsidR="00277ACF">
        <w:rPr>
          <w:rFonts w:cs="Times New Roman"/>
          <w:sz w:val="20"/>
          <w:szCs w:val="20"/>
        </w:rPr>
        <w:t xml:space="preserve"> </w:t>
      </w:r>
    </w:p>
    <w:p w:rsidR="00737921" w:rsidRDefault="00737921" w:rsidP="00737921">
      <w:pPr>
        <w:spacing w:after="0" w:line="240" w:lineRule="auto"/>
        <w:ind w:firstLine="432"/>
        <w:jc w:val="both"/>
        <w:rPr>
          <w:sz w:val="20"/>
          <w:szCs w:val="20"/>
        </w:rPr>
      </w:pPr>
      <w:r>
        <w:rPr>
          <w:sz w:val="20"/>
          <w:szCs w:val="20"/>
        </w:rPr>
        <w:t xml:space="preserve">Figure 4 </w:t>
      </w:r>
      <w:proofErr w:type="gramStart"/>
      <w:r>
        <w:rPr>
          <w:sz w:val="20"/>
          <w:szCs w:val="20"/>
        </w:rPr>
        <w:t>shows</w:t>
      </w:r>
      <w:proofErr w:type="gramEnd"/>
      <w:r>
        <w:rPr>
          <w:sz w:val="20"/>
          <w:szCs w:val="20"/>
        </w:rPr>
        <w:t xml:space="preserve"> that Padang City has a fairly high level of earthquake intensity. The calculation results show that the intensity value in Padang City is on the VI MMI scale with sy</w:t>
      </w:r>
      <w:r w:rsidR="00501D87">
        <w:rPr>
          <w:sz w:val="20"/>
          <w:szCs w:val="20"/>
        </w:rPr>
        <w:t xml:space="preserve">mptoms caused by an earthquake </w:t>
      </w:r>
      <w:r>
        <w:rPr>
          <w:sz w:val="20"/>
          <w:szCs w:val="20"/>
        </w:rPr>
        <w:t>that is felt by the community and has caused minor damage such as cracks in buildings. In addition, symptoms that arise are also in the form of light objects that are hung swaying and the glass windows vibrate. The greater the value of the peak ground acceleration, the higher the intensity scale due to the earthquake that occurred.</w:t>
      </w:r>
    </w:p>
    <w:p w:rsidR="00737921" w:rsidRDefault="00737921" w:rsidP="00737921">
      <w:pPr>
        <w:spacing w:after="0" w:line="240" w:lineRule="auto"/>
        <w:ind w:firstLine="432"/>
        <w:jc w:val="both"/>
        <w:rPr>
          <w:sz w:val="20"/>
          <w:szCs w:val="20"/>
        </w:rPr>
      </w:pPr>
      <w:r>
        <w:rPr>
          <w:sz w:val="20"/>
          <w:szCs w:val="20"/>
        </w:rPr>
        <w:t xml:space="preserve">Based on the calculation of the peak ground acceleration value, the city of Padang is grouped into two areas, namely vulnerable and alert areas. The area that has the largest peak ground acceleration value is included in the vulnerable area group, while the area with the smallest ground acceleration value is included in the alert area group [4]. The vulnerable areas include </w:t>
      </w:r>
      <w:r w:rsidR="00501D87">
        <w:rPr>
          <w:sz w:val="20"/>
          <w:szCs w:val="20"/>
        </w:rPr>
        <w:t xml:space="preserve">the </w:t>
      </w:r>
      <w:proofErr w:type="spellStart"/>
      <w:r>
        <w:rPr>
          <w:sz w:val="20"/>
          <w:szCs w:val="20"/>
        </w:rPr>
        <w:t>Bungus</w:t>
      </w:r>
      <w:proofErr w:type="spellEnd"/>
      <w:r>
        <w:rPr>
          <w:sz w:val="20"/>
          <w:szCs w:val="20"/>
        </w:rPr>
        <w:t xml:space="preserve"> </w:t>
      </w:r>
      <w:proofErr w:type="spellStart"/>
      <w:r>
        <w:rPr>
          <w:sz w:val="20"/>
          <w:szCs w:val="20"/>
        </w:rPr>
        <w:t>Teluk</w:t>
      </w:r>
      <w:proofErr w:type="spellEnd"/>
      <w:r>
        <w:rPr>
          <w:sz w:val="20"/>
          <w:szCs w:val="20"/>
        </w:rPr>
        <w:t xml:space="preserve"> </w:t>
      </w:r>
      <w:proofErr w:type="spellStart"/>
      <w:r>
        <w:rPr>
          <w:sz w:val="20"/>
          <w:szCs w:val="20"/>
        </w:rPr>
        <w:t>Kabung</w:t>
      </w:r>
      <w:proofErr w:type="spellEnd"/>
      <w:r>
        <w:rPr>
          <w:sz w:val="20"/>
          <w:szCs w:val="20"/>
        </w:rPr>
        <w:t xml:space="preserve"> District, while the alert area includes part of Koto </w:t>
      </w:r>
      <w:proofErr w:type="spellStart"/>
      <w:r>
        <w:rPr>
          <w:sz w:val="20"/>
          <w:szCs w:val="20"/>
        </w:rPr>
        <w:t>Tangah</w:t>
      </w:r>
      <w:proofErr w:type="spellEnd"/>
      <w:r>
        <w:rPr>
          <w:sz w:val="20"/>
          <w:szCs w:val="20"/>
        </w:rPr>
        <w:t xml:space="preserve"> and </w:t>
      </w:r>
      <w:proofErr w:type="spellStart"/>
      <w:r>
        <w:rPr>
          <w:sz w:val="20"/>
          <w:szCs w:val="20"/>
        </w:rPr>
        <w:t>Pauh</w:t>
      </w:r>
      <w:proofErr w:type="spellEnd"/>
      <w:r>
        <w:rPr>
          <w:sz w:val="20"/>
          <w:szCs w:val="20"/>
        </w:rPr>
        <w:t xml:space="preserve"> Districts. </w:t>
      </w:r>
    </w:p>
    <w:p w:rsidR="001B72FC" w:rsidRPr="00D1714C" w:rsidRDefault="00737921" w:rsidP="00737921">
      <w:pPr>
        <w:spacing w:after="0" w:line="240" w:lineRule="auto"/>
        <w:ind w:firstLine="432"/>
        <w:jc w:val="both"/>
        <w:rPr>
          <w:rFonts w:cs="Times New Roman"/>
          <w:sz w:val="20"/>
          <w:szCs w:val="20"/>
        </w:rPr>
      </w:pPr>
      <w:r>
        <w:rPr>
          <w:sz w:val="20"/>
          <w:szCs w:val="20"/>
        </w:rPr>
        <w:t xml:space="preserve">The value of peak ground acceleration and earthquake intensity that occurred in the Padang City area based on earthquake data originating from the </w:t>
      </w:r>
      <w:proofErr w:type="spellStart"/>
      <w:r>
        <w:rPr>
          <w:sz w:val="20"/>
          <w:szCs w:val="20"/>
        </w:rPr>
        <w:t>Mentawai</w:t>
      </w:r>
      <w:proofErr w:type="spellEnd"/>
      <w:r>
        <w:rPr>
          <w:sz w:val="20"/>
          <w:szCs w:val="20"/>
        </w:rPr>
        <w:t xml:space="preserve"> segment can be important information in planning for better </w:t>
      </w:r>
      <w:r>
        <w:rPr>
          <w:sz w:val="20"/>
          <w:szCs w:val="20"/>
        </w:rPr>
        <w:lastRenderedPageBreak/>
        <w:t>spatial and regional development planning in Padang City. Buildings built in the Padang City area should have met the requirements for earthquake-resistant buildings because almost all areas are the VI MMI intensity. Likewise with area</w:t>
      </w:r>
      <w:r w:rsidR="003743CF">
        <w:rPr>
          <w:sz w:val="20"/>
          <w:szCs w:val="20"/>
        </w:rPr>
        <w:t xml:space="preserve">s that </w:t>
      </w:r>
      <w:r w:rsidR="003A23B7">
        <w:rPr>
          <w:sz w:val="20"/>
          <w:szCs w:val="20"/>
        </w:rPr>
        <w:t>are</w:t>
      </w:r>
      <w:bookmarkStart w:id="0" w:name="_GoBack"/>
      <w:bookmarkEnd w:id="0"/>
      <w:r>
        <w:rPr>
          <w:sz w:val="20"/>
          <w:szCs w:val="20"/>
        </w:rPr>
        <w:t xml:space="preserve"> classified as vulnerable areas, because this area has a fairly high peak ground acceleration value. So disaster mitigation is needed in this area to minimize the damage caused by the earthquake.</w:t>
      </w:r>
      <w:r w:rsidR="00E37C56">
        <w:rPr>
          <w:rFonts w:cs="Times New Roman"/>
          <w:sz w:val="20"/>
          <w:szCs w:val="20"/>
        </w:rPr>
        <w:t xml:space="preserve"> </w:t>
      </w:r>
    </w:p>
    <w:p w:rsidR="001B72FC" w:rsidRDefault="00E0246B">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F87AFD">
            <w:rPr>
              <w:bCs/>
              <w:sz w:val="21"/>
            </w:rPr>
            <w:t>CONCLUSION</w:t>
          </w:r>
        </w:sdtContent>
      </w:sdt>
    </w:p>
    <w:p w:rsidR="001B72FC" w:rsidRPr="00FD16E1" w:rsidRDefault="00737921" w:rsidP="00737921">
      <w:pPr>
        <w:spacing w:after="0" w:line="240" w:lineRule="auto"/>
        <w:ind w:firstLine="426"/>
        <w:jc w:val="both"/>
        <w:rPr>
          <w:rFonts w:eastAsia="SimSun" w:cs="Times New Roman"/>
          <w:sz w:val="20"/>
          <w:szCs w:val="20"/>
        </w:rPr>
      </w:pPr>
      <w:r>
        <w:rPr>
          <w:sz w:val="20"/>
          <w:szCs w:val="20"/>
        </w:rPr>
        <w:t xml:space="preserve">Based on the results and analysis obtained from this study, it can be concluded that the validation results between the peak ground acceleration values using recorded data from </w:t>
      </w:r>
      <w:proofErr w:type="spellStart"/>
      <w:r>
        <w:rPr>
          <w:sz w:val="20"/>
          <w:szCs w:val="20"/>
        </w:rPr>
        <w:t>accelerographs</w:t>
      </w:r>
      <w:proofErr w:type="spellEnd"/>
      <w:r>
        <w:rPr>
          <w:sz w:val="20"/>
          <w:szCs w:val="20"/>
        </w:rPr>
        <w:t xml:space="preserve"> using an empirical formula obtained the appropriate formula, namely the Fukushima-Tanaka formula, so that the Fukushima-Tanaka formula was used to determine the peak ground acceleration in the city of Padang. Based on the results of the calculation of the peak ground acceleration value using an empirical formula, it was found that </w:t>
      </w:r>
      <w:proofErr w:type="spellStart"/>
      <w:r>
        <w:rPr>
          <w:sz w:val="20"/>
          <w:szCs w:val="20"/>
        </w:rPr>
        <w:t>Bungus</w:t>
      </w:r>
      <w:proofErr w:type="spellEnd"/>
      <w:r>
        <w:rPr>
          <w:sz w:val="20"/>
          <w:szCs w:val="20"/>
        </w:rPr>
        <w:t xml:space="preserve"> </w:t>
      </w:r>
      <w:proofErr w:type="spellStart"/>
      <w:r>
        <w:rPr>
          <w:sz w:val="20"/>
          <w:szCs w:val="20"/>
        </w:rPr>
        <w:t>Teluk</w:t>
      </w:r>
      <w:proofErr w:type="spellEnd"/>
      <w:r>
        <w:rPr>
          <w:sz w:val="20"/>
          <w:szCs w:val="20"/>
        </w:rPr>
        <w:t xml:space="preserve"> </w:t>
      </w:r>
      <w:proofErr w:type="spellStart"/>
      <w:r>
        <w:rPr>
          <w:sz w:val="20"/>
          <w:szCs w:val="20"/>
        </w:rPr>
        <w:t>Kabung</w:t>
      </w:r>
      <w:proofErr w:type="spellEnd"/>
      <w:r>
        <w:rPr>
          <w:sz w:val="20"/>
          <w:szCs w:val="20"/>
        </w:rPr>
        <w:t xml:space="preserve"> District had the highest peak ground acceleration value in Padang City. The intensity of the earthquake in the city of Padang based on the peak ground acceleration value has a scale of VI MMI.</w:t>
      </w:r>
    </w:p>
    <w:sdt>
      <w:sdtPr>
        <w:id w:val="92756881"/>
        <w:text/>
      </w:sdtPr>
      <w:sdtEndPr/>
      <w:sdtContent>
        <w:p w:rsidR="001B72FC" w:rsidRDefault="00F87AFD">
          <w:pPr>
            <w:pStyle w:val="Acknowledgement"/>
          </w:pPr>
          <w:r>
            <w:rPr>
              <w:lang w:val="en-US"/>
            </w:rPr>
            <w:t>REFERENCES</w:t>
          </w:r>
        </w:p>
      </w:sdtContent>
    </w:sdt>
    <w:p w:rsidR="001B72FC" w:rsidRPr="0037431F" w:rsidRDefault="0037431F">
      <w:pPr>
        <w:pStyle w:val="IJASEITReferenceItem"/>
        <w:rPr>
          <w:sz w:val="20"/>
          <w:szCs w:val="20"/>
        </w:rPr>
      </w:pPr>
      <w:r w:rsidRPr="0037431F">
        <w:rPr>
          <w:rFonts w:cs="Times New Roman"/>
          <w:noProof/>
          <w:sz w:val="20"/>
          <w:szCs w:val="20"/>
        </w:rPr>
        <w:t xml:space="preserve">Sunarjo, Gunawan, M. T., &amp; Pribadi, S. (2010). </w:t>
      </w:r>
      <w:r w:rsidRPr="0037431F">
        <w:rPr>
          <w:rFonts w:cs="Times New Roman"/>
          <w:i/>
          <w:iCs/>
          <w:noProof/>
          <w:sz w:val="20"/>
          <w:szCs w:val="20"/>
        </w:rPr>
        <w:t>Gempabumi Edisi Populer</w:t>
      </w:r>
      <w:r w:rsidRPr="0037431F">
        <w:rPr>
          <w:rFonts w:cs="Times New Roman"/>
          <w:noProof/>
          <w:sz w:val="20"/>
          <w:szCs w:val="20"/>
        </w:rPr>
        <w:t>. BMKG.</w:t>
      </w:r>
    </w:p>
    <w:p w:rsidR="0037431F" w:rsidRPr="0037431F" w:rsidRDefault="0037431F">
      <w:pPr>
        <w:pStyle w:val="IJASEITReferenceItem"/>
        <w:rPr>
          <w:sz w:val="20"/>
          <w:szCs w:val="20"/>
        </w:rPr>
      </w:pPr>
      <w:r w:rsidRPr="0037431F">
        <w:rPr>
          <w:rFonts w:cs="Times New Roman"/>
          <w:noProof/>
          <w:sz w:val="20"/>
          <w:szCs w:val="20"/>
        </w:rPr>
        <w:t xml:space="preserve">Isra, A. M. (2010). Kajian Kebencanaan. </w:t>
      </w:r>
      <w:r w:rsidRPr="0037431F">
        <w:rPr>
          <w:rFonts w:cs="Times New Roman"/>
          <w:i/>
          <w:iCs/>
          <w:noProof/>
          <w:sz w:val="20"/>
          <w:szCs w:val="20"/>
        </w:rPr>
        <w:t>Jurnal Teknik Arsitektur</w:t>
      </w:r>
      <w:r w:rsidRPr="0037431F">
        <w:rPr>
          <w:rFonts w:cs="Times New Roman"/>
          <w:noProof/>
          <w:sz w:val="20"/>
          <w:szCs w:val="20"/>
        </w:rPr>
        <w:t>,</w:t>
      </w:r>
      <w:r>
        <w:rPr>
          <w:rFonts w:cs="Times New Roman"/>
          <w:noProof/>
          <w:sz w:val="20"/>
          <w:szCs w:val="20"/>
        </w:rPr>
        <w:t xml:space="preserve"> Vol. 1, No. 1, Universitas Bung Hatta.</w:t>
      </w:r>
    </w:p>
    <w:p w:rsidR="0037431F" w:rsidRPr="0037431F" w:rsidRDefault="006B49B4">
      <w:pPr>
        <w:pStyle w:val="IJASEITReferenceItem"/>
        <w:rPr>
          <w:sz w:val="20"/>
          <w:szCs w:val="20"/>
        </w:rPr>
      </w:pPr>
      <w:r>
        <w:rPr>
          <w:rFonts w:cs="Times New Roman"/>
          <w:noProof/>
          <w:sz w:val="20"/>
          <w:szCs w:val="20"/>
        </w:rPr>
        <w:t>Zalmi, N</w:t>
      </w:r>
      <w:r w:rsidR="0037431F" w:rsidRPr="0037431F">
        <w:rPr>
          <w:rFonts w:cs="Times New Roman"/>
          <w:noProof/>
          <w:sz w:val="20"/>
          <w:szCs w:val="20"/>
        </w:rPr>
        <w:t>.,</w:t>
      </w:r>
      <w:r w:rsidR="00F97B1C">
        <w:rPr>
          <w:rFonts w:cs="Times New Roman"/>
          <w:noProof/>
          <w:sz w:val="20"/>
          <w:szCs w:val="20"/>
        </w:rPr>
        <w:t xml:space="preserve"> Syafriani,</w:t>
      </w:r>
      <w:r w:rsidR="0037431F" w:rsidRPr="0037431F">
        <w:rPr>
          <w:rFonts w:cs="Times New Roman"/>
          <w:noProof/>
          <w:sz w:val="20"/>
          <w:szCs w:val="20"/>
        </w:rPr>
        <w:t xml:space="preserve"> Triyono, R., &amp; Arifin, H. (2018). Pemetaan Bahaya Gempabumi Deterministik dengan Pendekatan Peak Ground Acceleration ( PGA ) di Kota Padang. </w:t>
      </w:r>
      <w:r w:rsidR="0037431F" w:rsidRPr="0037431F">
        <w:rPr>
          <w:rFonts w:cs="Times New Roman"/>
          <w:i/>
          <w:iCs/>
          <w:noProof/>
          <w:sz w:val="20"/>
          <w:szCs w:val="20"/>
        </w:rPr>
        <w:t>Pillar Of Physics</w:t>
      </w:r>
      <w:r w:rsidR="0037431F" w:rsidRPr="0037431F">
        <w:rPr>
          <w:rFonts w:cs="Times New Roman"/>
          <w:noProof/>
          <w:sz w:val="20"/>
          <w:szCs w:val="20"/>
        </w:rPr>
        <w:t xml:space="preserve">, </w:t>
      </w:r>
      <w:r w:rsidR="0037431F" w:rsidRPr="0037431F">
        <w:rPr>
          <w:rFonts w:cs="Times New Roman"/>
          <w:i/>
          <w:iCs/>
          <w:noProof/>
          <w:sz w:val="20"/>
          <w:szCs w:val="20"/>
        </w:rPr>
        <w:t>11</w:t>
      </w:r>
      <w:r w:rsidR="0037431F" w:rsidRPr="0037431F">
        <w:rPr>
          <w:rFonts w:cs="Times New Roman"/>
          <w:noProof/>
          <w:sz w:val="20"/>
          <w:szCs w:val="20"/>
        </w:rPr>
        <w:t>(2), 41–48.</w:t>
      </w:r>
    </w:p>
    <w:p w:rsidR="0037431F" w:rsidRPr="0037431F" w:rsidRDefault="0037431F">
      <w:pPr>
        <w:pStyle w:val="IJASEITReferenceItem"/>
        <w:rPr>
          <w:sz w:val="20"/>
          <w:szCs w:val="20"/>
        </w:rPr>
      </w:pPr>
      <w:r w:rsidRPr="0037431F">
        <w:rPr>
          <w:rFonts w:cs="Times New Roman"/>
          <w:noProof/>
          <w:sz w:val="20"/>
          <w:szCs w:val="20"/>
        </w:rPr>
        <w:t xml:space="preserve">Edwiza, D. (2008). Analisis terhadap intensitas dan percepatan tanah maksimum gempa sumbar. </w:t>
      </w:r>
      <w:r w:rsidRPr="0037431F">
        <w:rPr>
          <w:rFonts w:cs="Times New Roman"/>
          <w:i/>
          <w:iCs/>
          <w:noProof/>
          <w:sz w:val="20"/>
          <w:szCs w:val="20"/>
        </w:rPr>
        <w:t>Teknika</w:t>
      </w:r>
      <w:r w:rsidRPr="0037431F">
        <w:rPr>
          <w:rFonts w:cs="Times New Roman"/>
          <w:noProof/>
          <w:sz w:val="20"/>
          <w:szCs w:val="20"/>
        </w:rPr>
        <w:t xml:space="preserve">, </w:t>
      </w:r>
      <w:r w:rsidRPr="0037431F">
        <w:rPr>
          <w:rFonts w:cs="Times New Roman"/>
          <w:i/>
          <w:iCs/>
          <w:noProof/>
          <w:sz w:val="20"/>
          <w:szCs w:val="20"/>
        </w:rPr>
        <w:t>1</w:t>
      </w:r>
      <w:r w:rsidRPr="0037431F">
        <w:rPr>
          <w:rFonts w:cs="Times New Roman"/>
          <w:noProof/>
          <w:sz w:val="20"/>
          <w:szCs w:val="20"/>
        </w:rPr>
        <w:t>(29), 73–79.</w:t>
      </w:r>
    </w:p>
    <w:p w:rsidR="0037431F" w:rsidRPr="0037431F" w:rsidRDefault="0037431F">
      <w:pPr>
        <w:pStyle w:val="IJASEITReferenceItem"/>
        <w:rPr>
          <w:sz w:val="20"/>
          <w:szCs w:val="20"/>
        </w:rPr>
      </w:pPr>
      <w:r w:rsidRPr="0037431F">
        <w:rPr>
          <w:rFonts w:cs="Times New Roman"/>
          <w:noProof/>
          <w:sz w:val="20"/>
          <w:szCs w:val="20"/>
        </w:rPr>
        <w:t xml:space="preserve">Hadi, Farid,  dan F. (2012). Pemetaan Percepatan Getaran Tanah Maksimum dan Kerentanan Seismik Akibat Gempabumi untuk Mendukung Rencana Tata Ruang dan Wilayah (RTRW) Kota Bengkulu. </w:t>
      </w:r>
      <w:r w:rsidRPr="0037431F">
        <w:rPr>
          <w:rFonts w:cs="Times New Roman"/>
          <w:i/>
          <w:iCs/>
          <w:noProof/>
          <w:sz w:val="20"/>
          <w:szCs w:val="20"/>
        </w:rPr>
        <w:t>SIMETRI, Jurnal Ilmu Fisika Indonesia</w:t>
      </w:r>
      <w:r w:rsidRPr="0037431F">
        <w:rPr>
          <w:rFonts w:cs="Times New Roman"/>
          <w:noProof/>
          <w:sz w:val="20"/>
          <w:szCs w:val="20"/>
        </w:rPr>
        <w:t xml:space="preserve">, </w:t>
      </w:r>
      <w:r w:rsidRPr="0037431F">
        <w:rPr>
          <w:rFonts w:cs="Times New Roman"/>
          <w:i/>
          <w:iCs/>
          <w:noProof/>
          <w:sz w:val="20"/>
          <w:szCs w:val="20"/>
        </w:rPr>
        <w:t>1</w:t>
      </w:r>
      <w:r w:rsidRPr="0037431F">
        <w:rPr>
          <w:rFonts w:cs="Times New Roman"/>
          <w:noProof/>
          <w:sz w:val="20"/>
          <w:szCs w:val="20"/>
        </w:rPr>
        <w:t>(2D), 81–86.</w:t>
      </w:r>
    </w:p>
    <w:p w:rsidR="0037431F" w:rsidRPr="0037431F" w:rsidRDefault="0037431F">
      <w:pPr>
        <w:pStyle w:val="IJASEITReferenceItem"/>
        <w:rPr>
          <w:sz w:val="20"/>
          <w:szCs w:val="20"/>
        </w:rPr>
      </w:pPr>
      <w:r w:rsidRPr="0037431F">
        <w:rPr>
          <w:rFonts w:cs="Times New Roman"/>
          <w:noProof/>
          <w:sz w:val="20"/>
          <w:szCs w:val="20"/>
        </w:rPr>
        <w:t xml:space="preserve">Kapojos, C. G., Tamuntuan, G., &amp; Pasau, G. (2015). ANALISIS PERCEPATAN TANAH MAKSIMUM DENGAN MENGGUNAKAN RUMUSAN ESTEVA DAN DONOVAN (Studi Kasus Pada Semenanjung Utara Pulau Sulawesi). </w:t>
      </w:r>
      <w:r w:rsidRPr="0037431F">
        <w:rPr>
          <w:rFonts w:cs="Times New Roman"/>
          <w:i/>
          <w:iCs/>
          <w:noProof/>
          <w:sz w:val="20"/>
          <w:szCs w:val="20"/>
        </w:rPr>
        <w:t>Jurnal Ilmiah Sains</w:t>
      </w:r>
      <w:r w:rsidRPr="0037431F">
        <w:rPr>
          <w:rFonts w:cs="Times New Roman"/>
          <w:noProof/>
          <w:sz w:val="20"/>
          <w:szCs w:val="20"/>
        </w:rPr>
        <w:t xml:space="preserve">, </w:t>
      </w:r>
      <w:r w:rsidRPr="0037431F">
        <w:rPr>
          <w:rFonts w:cs="Times New Roman"/>
          <w:i/>
          <w:iCs/>
          <w:noProof/>
          <w:sz w:val="20"/>
          <w:szCs w:val="20"/>
        </w:rPr>
        <w:t>17</w:t>
      </w:r>
      <w:r w:rsidRPr="0037431F">
        <w:rPr>
          <w:rFonts w:cs="Times New Roman"/>
          <w:noProof/>
          <w:sz w:val="20"/>
          <w:szCs w:val="20"/>
        </w:rPr>
        <w:t>(1), 99. https://doi.org/10.35799/jis.15.2.2015.9225</w:t>
      </w:r>
      <w:r>
        <w:rPr>
          <w:sz w:val="20"/>
          <w:szCs w:val="20"/>
        </w:rPr>
        <w:t>.</w:t>
      </w:r>
    </w:p>
    <w:p w:rsidR="0037431F" w:rsidRPr="0037431F" w:rsidRDefault="0037431F">
      <w:pPr>
        <w:pStyle w:val="IJASEITReferenceItem"/>
        <w:rPr>
          <w:sz w:val="20"/>
          <w:szCs w:val="20"/>
        </w:rPr>
      </w:pPr>
      <w:r w:rsidRPr="0037431F">
        <w:rPr>
          <w:rFonts w:cs="Times New Roman"/>
          <w:noProof/>
          <w:sz w:val="20"/>
          <w:szCs w:val="20"/>
        </w:rPr>
        <w:t xml:space="preserve">Lowrie, W. (2007). Fundamentals of Geophysics. In </w:t>
      </w:r>
      <w:r w:rsidRPr="0037431F">
        <w:rPr>
          <w:rFonts w:cs="Times New Roman"/>
          <w:i/>
          <w:iCs/>
          <w:noProof/>
          <w:sz w:val="20"/>
          <w:szCs w:val="20"/>
        </w:rPr>
        <w:t>Fundamentals of Geophysics</w:t>
      </w:r>
      <w:r w:rsidRPr="0037431F">
        <w:rPr>
          <w:rFonts w:cs="Times New Roman"/>
          <w:noProof/>
          <w:sz w:val="20"/>
          <w:szCs w:val="20"/>
        </w:rPr>
        <w:t>. https://doi.org/10.1017/cbo9780511807107</w:t>
      </w:r>
      <w:r>
        <w:rPr>
          <w:rFonts w:cs="Times New Roman"/>
          <w:noProof/>
          <w:sz w:val="20"/>
          <w:szCs w:val="20"/>
        </w:rPr>
        <w:t>.</w:t>
      </w:r>
    </w:p>
    <w:p w:rsidR="0037431F" w:rsidRPr="0037431F" w:rsidRDefault="0037431F">
      <w:pPr>
        <w:pStyle w:val="IJASEITReferenceItem"/>
        <w:rPr>
          <w:sz w:val="20"/>
          <w:szCs w:val="20"/>
        </w:rPr>
      </w:pPr>
      <w:r w:rsidRPr="0037431F">
        <w:rPr>
          <w:rFonts w:cs="Times New Roman"/>
          <w:noProof/>
          <w:sz w:val="20"/>
          <w:szCs w:val="20"/>
        </w:rPr>
        <w:t xml:space="preserve">Linkimer, L. (2007). Relationship Between Peak Ground Acceleration and Modified Mercalli Intensity in Costa Rica. </w:t>
      </w:r>
      <w:r w:rsidRPr="0037431F">
        <w:rPr>
          <w:rFonts w:cs="Times New Roman"/>
          <w:i/>
          <w:iCs/>
          <w:noProof/>
          <w:sz w:val="20"/>
          <w:szCs w:val="20"/>
        </w:rPr>
        <w:t>Revista Geológica de América Central</w:t>
      </w:r>
      <w:r w:rsidRPr="0037431F">
        <w:rPr>
          <w:rFonts w:cs="Times New Roman"/>
          <w:noProof/>
          <w:sz w:val="20"/>
          <w:szCs w:val="20"/>
        </w:rPr>
        <w:t xml:space="preserve">, </w:t>
      </w:r>
      <w:r w:rsidRPr="0037431F">
        <w:rPr>
          <w:rFonts w:cs="Times New Roman"/>
          <w:i/>
          <w:iCs/>
          <w:noProof/>
          <w:sz w:val="20"/>
          <w:szCs w:val="20"/>
        </w:rPr>
        <w:t>38</w:t>
      </w:r>
      <w:r w:rsidRPr="0037431F">
        <w:rPr>
          <w:rFonts w:cs="Times New Roman"/>
          <w:noProof/>
          <w:sz w:val="20"/>
          <w:szCs w:val="20"/>
        </w:rPr>
        <w:t>. https://doi.org/10.15517/rgac.v0i38.4218.</w:t>
      </w:r>
    </w:p>
    <w:p w:rsidR="0037431F" w:rsidRPr="00997417" w:rsidRDefault="00997417">
      <w:pPr>
        <w:pStyle w:val="IJASEITReferenceItem"/>
        <w:rPr>
          <w:sz w:val="20"/>
          <w:szCs w:val="20"/>
        </w:rPr>
      </w:pPr>
      <w:r w:rsidRPr="00997417">
        <w:rPr>
          <w:rFonts w:cs="Times New Roman"/>
          <w:noProof/>
          <w:sz w:val="20"/>
          <w:szCs w:val="20"/>
        </w:rPr>
        <w:t xml:space="preserve">Douglas, J. (2018). Ground motion prediction equations 1964-2018. </w:t>
      </w:r>
      <w:r w:rsidRPr="00997417">
        <w:rPr>
          <w:rFonts w:cs="Times New Roman"/>
          <w:i/>
          <w:iCs/>
          <w:noProof/>
          <w:sz w:val="20"/>
          <w:szCs w:val="20"/>
        </w:rPr>
        <w:t>Pacific Earthquake Engineering Research Center</w:t>
      </w:r>
      <w:r w:rsidRPr="00997417">
        <w:rPr>
          <w:rFonts w:cs="Times New Roman"/>
          <w:noProof/>
          <w:sz w:val="20"/>
          <w:szCs w:val="20"/>
        </w:rPr>
        <w:t xml:space="preserve">, </w:t>
      </w:r>
      <w:r w:rsidRPr="00997417">
        <w:rPr>
          <w:rFonts w:cs="Times New Roman"/>
          <w:i/>
          <w:iCs/>
          <w:noProof/>
          <w:sz w:val="20"/>
          <w:szCs w:val="20"/>
        </w:rPr>
        <w:t>1964</w:t>
      </w:r>
      <w:r w:rsidRPr="00997417">
        <w:rPr>
          <w:rFonts w:cs="Times New Roman"/>
          <w:noProof/>
          <w:sz w:val="20"/>
          <w:szCs w:val="20"/>
        </w:rPr>
        <w:t>–</w:t>
      </w:r>
      <w:r w:rsidRPr="00997417">
        <w:rPr>
          <w:rFonts w:cs="Times New Roman"/>
          <w:i/>
          <w:iCs/>
          <w:noProof/>
          <w:sz w:val="20"/>
          <w:szCs w:val="20"/>
        </w:rPr>
        <w:t>2010</w:t>
      </w:r>
      <w:r w:rsidRPr="00997417">
        <w:rPr>
          <w:rFonts w:cs="Times New Roman"/>
          <w:noProof/>
          <w:sz w:val="20"/>
          <w:szCs w:val="20"/>
        </w:rPr>
        <w:t>, 629.</w:t>
      </w:r>
    </w:p>
    <w:p w:rsidR="00997417" w:rsidRPr="00997417" w:rsidRDefault="00997417">
      <w:pPr>
        <w:pStyle w:val="IJASEITReferenceItem"/>
        <w:rPr>
          <w:sz w:val="20"/>
          <w:szCs w:val="20"/>
        </w:rPr>
      </w:pPr>
      <w:r w:rsidRPr="00997417">
        <w:rPr>
          <w:rFonts w:cs="Times New Roman"/>
          <w:noProof/>
          <w:sz w:val="20"/>
          <w:szCs w:val="20"/>
        </w:rPr>
        <w:t xml:space="preserve">SI, H., &amp; MIDORIKAWA, S. (1999). New Attenuation Relationships for Peak Ground Acceleration and Velocity Considering Effects of Fault Type and Site Condition. </w:t>
      </w:r>
      <w:r w:rsidRPr="00997417">
        <w:rPr>
          <w:rFonts w:cs="Times New Roman"/>
          <w:i/>
          <w:iCs/>
          <w:noProof/>
          <w:sz w:val="20"/>
          <w:szCs w:val="20"/>
        </w:rPr>
        <w:t>Journal of Structural and Construction Engineering (Transactions of AIJ)</w:t>
      </w:r>
      <w:r w:rsidRPr="00997417">
        <w:rPr>
          <w:rFonts w:cs="Times New Roman"/>
          <w:noProof/>
          <w:sz w:val="20"/>
          <w:szCs w:val="20"/>
        </w:rPr>
        <w:t xml:space="preserve">, </w:t>
      </w:r>
      <w:r w:rsidRPr="00997417">
        <w:rPr>
          <w:rFonts w:cs="Times New Roman"/>
          <w:i/>
          <w:iCs/>
          <w:noProof/>
          <w:sz w:val="20"/>
          <w:szCs w:val="20"/>
        </w:rPr>
        <w:t>64</w:t>
      </w:r>
      <w:r w:rsidRPr="00997417">
        <w:rPr>
          <w:rFonts w:cs="Times New Roman"/>
          <w:noProof/>
          <w:sz w:val="20"/>
          <w:szCs w:val="20"/>
        </w:rPr>
        <w:t>(523), 63–70. https://doi.org/10.3130/aijs.64.63_2</w:t>
      </w:r>
      <w:r>
        <w:rPr>
          <w:rFonts w:cs="Times New Roman"/>
          <w:noProof/>
          <w:sz w:val="20"/>
          <w:szCs w:val="20"/>
        </w:rPr>
        <w:t>.</w:t>
      </w:r>
    </w:p>
    <w:p w:rsidR="00997417" w:rsidRPr="00997417" w:rsidRDefault="00997417">
      <w:pPr>
        <w:pStyle w:val="IJASEITReferenceItem"/>
        <w:rPr>
          <w:sz w:val="20"/>
          <w:szCs w:val="20"/>
        </w:rPr>
      </w:pPr>
      <w:r w:rsidRPr="00997417">
        <w:rPr>
          <w:rFonts w:cs="Times New Roman"/>
          <w:noProof/>
          <w:sz w:val="20"/>
          <w:szCs w:val="20"/>
        </w:rPr>
        <w:t xml:space="preserve">Fukushima, Y., &amp; Tanaka, T. (1990). A New Attenuation Relation for Peak Horizontal Acceleration of Strong Motion in Japan. </w:t>
      </w:r>
      <w:r w:rsidRPr="00997417">
        <w:rPr>
          <w:rFonts w:cs="Times New Roman"/>
          <w:i/>
          <w:iCs/>
          <w:noProof/>
          <w:sz w:val="20"/>
          <w:szCs w:val="20"/>
        </w:rPr>
        <w:t>Bulletin of the Seismological Society of America (1990)</w:t>
      </w:r>
      <w:r w:rsidRPr="00997417">
        <w:rPr>
          <w:rFonts w:cs="Times New Roman"/>
          <w:noProof/>
          <w:sz w:val="20"/>
          <w:szCs w:val="20"/>
        </w:rPr>
        <w:t xml:space="preserve">, </w:t>
      </w:r>
      <w:r w:rsidRPr="00997417">
        <w:rPr>
          <w:rFonts w:cs="Times New Roman"/>
          <w:i/>
          <w:iCs/>
          <w:noProof/>
          <w:sz w:val="20"/>
          <w:szCs w:val="20"/>
        </w:rPr>
        <w:t>80</w:t>
      </w:r>
      <w:r w:rsidRPr="00997417">
        <w:rPr>
          <w:rFonts w:cs="Times New Roman"/>
          <w:noProof/>
          <w:sz w:val="20"/>
          <w:szCs w:val="20"/>
        </w:rPr>
        <w:t>, 757–783. https://doi.org/https://doi.org/10.1785/BSSA0800040757</w:t>
      </w:r>
    </w:p>
    <w:p w:rsidR="00997417" w:rsidRPr="00997417" w:rsidRDefault="00997417" w:rsidP="00997417">
      <w:pPr>
        <w:pStyle w:val="IJASEITReferenceItem"/>
        <w:rPr>
          <w:sz w:val="20"/>
          <w:szCs w:val="20"/>
        </w:rPr>
      </w:pPr>
      <w:r w:rsidRPr="00997417">
        <w:rPr>
          <w:rFonts w:cs="Times New Roman"/>
          <w:noProof/>
          <w:sz w:val="20"/>
          <w:szCs w:val="20"/>
        </w:rPr>
        <w:t xml:space="preserve">Leviana, M., Syafriani, &amp; Sabarani, A. Z. (2017). Estimasi Nilai Percepatan Tanah Maksimum Wilayah Sumatera Barat Berdasarkan Skenario Gempabumi M 8.8 Sr Menggunakan Rumusan Empiris Mc. Guire (1963) Dan Donovan (1973). </w:t>
      </w:r>
      <w:r w:rsidRPr="00997417">
        <w:rPr>
          <w:rFonts w:cs="Times New Roman"/>
          <w:i/>
          <w:iCs/>
          <w:noProof/>
          <w:sz w:val="20"/>
          <w:szCs w:val="20"/>
        </w:rPr>
        <w:t>Pillar of Physics</w:t>
      </w:r>
      <w:r w:rsidRPr="00997417">
        <w:rPr>
          <w:rFonts w:cs="Times New Roman"/>
          <w:noProof/>
          <w:sz w:val="20"/>
          <w:szCs w:val="20"/>
        </w:rPr>
        <w:t xml:space="preserve">, </w:t>
      </w:r>
      <w:r w:rsidRPr="00997417">
        <w:rPr>
          <w:rFonts w:cs="Times New Roman"/>
          <w:i/>
          <w:iCs/>
          <w:noProof/>
          <w:sz w:val="20"/>
          <w:szCs w:val="20"/>
        </w:rPr>
        <w:t>10</w:t>
      </w:r>
      <w:r w:rsidRPr="00997417">
        <w:rPr>
          <w:rFonts w:cs="Times New Roman"/>
          <w:noProof/>
          <w:sz w:val="20"/>
          <w:szCs w:val="20"/>
        </w:rPr>
        <w:t>(1963), 55–62.</w:t>
      </w:r>
    </w:p>
    <w:sectPr w:rsidR="00997417" w:rsidRPr="00997417" w:rsidSect="001B72FC">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6B" w:rsidRDefault="00E0246B">
      <w:pPr>
        <w:spacing w:line="240" w:lineRule="auto"/>
      </w:pPr>
      <w:r>
        <w:separator/>
      </w:r>
    </w:p>
  </w:endnote>
  <w:endnote w:type="continuationSeparator" w:id="0">
    <w:p w:rsidR="00E0246B" w:rsidRDefault="00E02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1F" w:rsidRDefault="0037431F">
    <w:pPr>
      <w:pStyle w:val="Footer"/>
      <w:tabs>
        <w:tab w:val="clear" w:pos="4680"/>
        <w:tab w:val="clear" w:pos="9360"/>
        <w:tab w:val="right" w:pos="9072"/>
      </w:tabs>
    </w:pPr>
  </w:p>
  <w:p w:rsidR="0037431F" w:rsidRDefault="00E0246B" w:rsidP="00103EAB">
    <w:pPr>
      <w:pStyle w:val="Footer"/>
      <w:tabs>
        <w:tab w:val="clear" w:pos="4680"/>
        <w:tab w:val="clear" w:pos="9360"/>
        <w:tab w:val="center" w:pos="4962"/>
        <w:tab w:val="right" w:pos="9072"/>
      </w:tabs>
    </w:pPr>
    <w:sdt>
      <w:sdtPr>
        <w:id w:val="306525156"/>
      </w:sdtPr>
      <w:sdtEndPr>
        <w:rPr>
          <w:color w:val="808080" w:themeColor="background1" w:themeShade="80"/>
          <w:spacing w:val="60"/>
        </w:rPr>
      </w:sdtEndPr>
      <w:sdtContent>
        <w:r w:rsidR="0037431F">
          <w:rPr>
            <w:sz w:val="20"/>
            <w:szCs w:val="18"/>
          </w:rPr>
          <w:t xml:space="preserve">                                                                                                                </w:t>
        </w:r>
        <w:r w:rsidR="0037431F">
          <w:rPr>
            <w:sz w:val="20"/>
            <w:szCs w:val="18"/>
          </w:rPr>
          <w:tab/>
          <w:t xml:space="preserve">  </w:t>
        </w:r>
        <w:r w:rsidR="0037431F">
          <w:rPr>
            <w:b/>
            <w:bCs/>
          </w:rPr>
          <w:t xml:space="preserve"> </w:t>
        </w:r>
        <w:sdt>
          <w:sdtPr>
            <w:id w:val="173159058"/>
            <w:text/>
          </w:sdtPr>
          <w:sdtEndPr/>
          <w:sdtContent>
            <w:r w:rsidR="0037431F">
              <w:rPr>
                <w:i/>
                <w:iCs/>
                <w:sz w:val="20"/>
                <w:szCs w:val="18"/>
              </w:rPr>
              <w:t>Pillar of Physics</w:t>
            </w:r>
            <w:r w:rsidR="0037431F">
              <w:rPr>
                <w:sz w:val="20"/>
                <w:szCs w:val="18"/>
              </w:rPr>
              <w:t>, page.</w:t>
            </w:r>
          </w:sdtContent>
        </w:sdt>
        <w:r w:rsidR="0037431F">
          <w:fldChar w:fldCharType="begin"/>
        </w:r>
        <w:r w:rsidR="0037431F">
          <w:instrText xml:space="preserve"> PAGE   \* MERGEFORMAT </w:instrText>
        </w:r>
        <w:r w:rsidR="0037431F">
          <w:fldChar w:fldCharType="separate"/>
        </w:r>
        <w:r w:rsidR="003A23B7" w:rsidRPr="003A23B7">
          <w:rPr>
            <w:b/>
            <w:bCs/>
            <w:noProof/>
          </w:rPr>
          <w:t>6</w:t>
        </w:r>
        <w:r w:rsidR="0037431F">
          <w:rPr>
            <w:b/>
            <w:bCs/>
          </w:rPr>
          <w:fldChar w:fldCharType="end"/>
        </w:r>
        <w:r w:rsidR="0037431F">
          <w:rPr>
            <w:b/>
            <w:bCs/>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668291"/>
    </w:sdtPr>
    <w:sdtEndPr/>
    <w:sdtContent>
      <w:p w:rsidR="0037431F" w:rsidRDefault="0037431F">
        <w:pPr>
          <w:pStyle w:val="Footer"/>
          <w:tabs>
            <w:tab w:val="right" w:pos="9072"/>
          </w:tabs>
        </w:pPr>
        <w:r>
          <w:tab/>
        </w:r>
        <w:r>
          <w:tab/>
        </w:r>
        <w:sdt>
          <w:sdtPr>
            <w:id w:val="-655679134"/>
            <w:text/>
          </w:sdtPr>
          <w:sdtEndPr/>
          <w:sdtContent>
            <w:r>
              <w:rPr>
                <w:i/>
                <w:iCs/>
                <w:sz w:val="20"/>
                <w:szCs w:val="18"/>
              </w:rPr>
              <w:t>Pillar of Physics</w:t>
            </w:r>
            <w:r>
              <w:rPr>
                <w:sz w:val="20"/>
                <w:szCs w:val="18"/>
              </w:rPr>
              <w:t>, page.</w:t>
            </w:r>
          </w:sdtContent>
        </w:sdt>
        <w:r>
          <w:t xml:space="preserve">  </w:t>
        </w:r>
        <w:r>
          <w:rPr>
            <w:b/>
            <w:bCs/>
          </w:rPr>
          <w:fldChar w:fldCharType="begin"/>
        </w:r>
        <w:r>
          <w:rPr>
            <w:b/>
            <w:bCs/>
          </w:rPr>
          <w:instrText xml:space="preserve"> PAGE   \* MERGEFORMAT </w:instrText>
        </w:r>
        <w:r>
          <w:rPr>
            <w:b/>
            <w:bCs/>
          </w:rPr>
          <w:fldChar w:fldCharType="separate"/>
        </w:r>
        <w:r w:rsidR="003A23B7">
          <w:rPr>
            <w:b/>
            <w:bCs/>
            <w:noProof/>
          </w:rPr>
          <w:t>7</w:t>
        </w:r>
        <w:r>
          <w:rPr>
            <w:b/>
            <w:bCs/>
          </w:rPr>
          <w:fldChar w:fldCharType="end"/>
        </w:r>
        <w:r>
          <w:t xml:space="preserve">|  </w:t>
        </w:r>
      </w:p>
    </w:sdtContent>
  </w:sdt>
  <w:p w:rsidR="0037431F" w:rsidRDefault="003743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rsidR="0037431F" w:rsidRDefault="0037431F">
        <w:pPr>
          <w:pStyle w:val="Footer"/>
          <w:tabs>
            <w:tab w:val="right" w:pos="9072"/>
          </w:tabs>
        </w:pPr>
      </w:p>
      <w:p w:rsidR="0037431F" w:rsidRDefault="0037431F">
        <w:pPr>
          <w:pStyle w:val="Footer"/>
          <w:tabs>
            <w:tab w:val="right" w:pos="9072"/>
          </w:tabs>
        </w:pPr>
        <w:r w:rsidRPr="00B67356">
          <w:rPr>
            <w:color w:val="000000" w:themeColor="text1"/>
            <w:sz w:val="20"/>
          </w:rPr>
          <w:t>Submitted: .xxx Accepted: xxx Published: .xxx</w:t>
        </w:r>
        <w:r>
          <w:rPr>
            <w:sz w:val="20"/>
            <w:szCs w:val="18"/>
          </w:rPr>
          <w:t xml:space="preserve"> </w:t>
        </w:r>
        <w:r>
          <w:tab/>
        </w:r>
        <w:r>
          <w:tab/>
        </w:r>
        <w:sdt>
          <w:sdtPr>
            <w:id w:val="-1044060715"/>
            <w:text/>
          </w:sdtPr>
          <w:sdtEndPr/>
          <w:sdtContent>
            <w:r>
              <w:rPr>
                <w:i/>
                <w:iCs/>
                <w:sz w:val="20"/>
                <w:szCs w:val="18"/>
              </w:rPr>
              <w:t>Pillar of Physics</w:t>
            </w:r>
            <w:r>
              <w:rPr>
                <w:sz w:val="20"/>
                <w:szCs w:val="18"/>
              </w:rPr>
              <w:t>, page.</w:t>
            </w:r>
          </w:sdtContent>
        </w:sdt>
        <w:r>
          <w:t xml:space="preserve"> | </w:t>
        </w:r>
        <w:r>
          <w:fldChar w:fldCharType="begin"/>
        </w:r>
        <w:r>
          <w:instrText xml:space="preserve"> PAGE   \* MERGEFORMAT </w:instrText>
        </w:r>
        <w:r>
          <w:fldChar w:fldCharType="separate"/>
        </w:r>
        <w:r w:rsidR="00356ADB">
          <w:rPr>
            <w:noProof/>
          </w:rPr>
          <w:t>1</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6B" w:rsidRDefault="00E0246B">
      <w:pPr>
        <w:spacing w:after="0" w:line="240" w:lineRule="auto"/>
      </w:pPr>
      <w:r>
        <w:separator/>
      </w:r>
    </w:p>
  </w:footnote>
  <w:footnote w:type="continuationSeparator" w:id="0">
    <w:p w:rsidR="00E0246B" w:rsidRDefault="00E02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1F" w:rsidRDefault="0037431F">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1F" w:rsidRDefault="0037431F">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p w:rsidR="0037431F" w:rsidRDefault="003743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31F" w:rsidRDefault="0037431F">
    <w:pPr>
      <w:pStyle w:val="Header"/>
      <w:rPr>
        <w:rFonts w:asciiTheme="majorBidi" w:hAnsiTheme="majorBidi" w:cstheme="majorBidi"/>
        <w:sz w:val="22"/>
        <w:szCs w:val="20"/>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1237615</wp:posOffset>
              </wp:positionH>
              <wp:positionV relativeFrom="paragraph">
                <wp:posOffset>819150</wp:posOffset>
              </wp:positionV>
              <wp:extent cx="3359150" cy="473710"/>
              <wp:effectExtent l="0" t="0" r="0" b="0"/>
              <wp:wrapNone/>
              <wp:docPr id="1"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473710"/>
                      </a:xfrm>
                      <a:prstGeom prst="rect">
                        <a:avLst/>
                      </a:prstGeom>
                      <a:solidFill>
                        <a:srgbClr val="FFFFFF">
                          <a:alpha val="0"/>
                        </a:srgbClr>
                      </a:solidFill>
                      <a:ln>
                        <a:noFill/>
                      </a:ln>
                    </wps:spPr>
                    <wps:txbx>
                      <w:txbxContent>
                        <w:p w:rsidR="0037431F" w:rsidRPr="00103EAB" w:rsidRDefault="0037431F"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w:t>
                          </w:r>
                          <w:proofErr w:type="spellStart"/>
                          <w:r w:rsidRPr="00103EAB">
                            <w:rPr>
                              <w:rFonts w:asciiTheme="majorBidi" w:hAnsiTheme="majorBidi" w:cstheme="majorBidi"/>
                              <w:b/>
                              <w:color w:val="FFFFFF" w:themeColor="background1"/>
                              <w:sz w:val="20"/>
                              <w:szCs w:val="24"/>
                            </w:rPr>
                            <w:t>Nomor</w:t>
                          </w:r>
                          <w:proofErr w:type="spellEnd"/>
                          <w:r w:rsidRPr="00103EAB">
                            <w:rPr>
                              <w:rFonts w:asciiTheme="majorBidi" w:hAnsiTheme="majorBidi" w:cstheme="majorBidi"/>
                              <w:b/>
                              <w:color w:val="FFFFFF" w:themeColor="background1"/>
                              <w:sz w:val="20"/>
                              <w:szCs w:val="24"/>
                            </w:rPr>
                            <w:t>), Year, page.</w:t>
                          </w:r>
                        </w:p>
                        <w:p w:rsidR="0037431F" w:rsidRPr="00103EAB" w:rsidRDefault="0037431F" w:rsidP="00103EAB">
                          <w:pPr>
                            <w:spacing w:after="0" w:line="240" w:lineRule="auto"/>
                            <w:jc w:val="center"/>
                            <w:rPr>
                              <w:rFonts w:asciiTheme="majorBidi" w:hAnsiTheme="majorBidi" w:cstheme="majorBidi"/>
                              <w:b/>
                              <w:color w:val="FFFFFF" w:themeColor="background1"/>
                              <w:sz w:val="20"/>
                              <w:szCs w:val="24"/>
                            </w:rPr>
                          </w:pPr>
                          <w:proofErr w:type="gramStart"/>
                          <w:r w:rsidRPr="00103EAB">
                            <w:rPr>
                              <w:rFonts w:asciiTheme="majorBidi" w:hAnsiTheme="majorBidi" w:cstheme="majorBidi"/>
                              <w:b/>
                              <w:color w:val="FFFFFF" w:themeColor="background1"/>
                              <w:sz w:val="20"/>
                              <w:szCs w:val="24"/>
                            </w:rPr>
                            <w:t>DOI :</w:t>
                          </w:r>
                          <w:proofErr w:type="gramEnd"/>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97.45pt;margin-top:64.5pt;width:264.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" stroked="f">
              <v:fill opacity="0"/>
              <v:path arrowok="t"/>
              <v:textbox>
                <w:txbxContent>
                  <w:p w:rsidR="0037431F" w:rsidRPr="00103EAB" w:rsidRDefault="0037431F" w:rsidP="00103EAB">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w:t>
                    </w:r>
                    <w:proofErr w:type="spellStart"/>
                    <w:r w:rsidRPr="00103EAB">
                      <w:rPr>
                        <w:rFonts w:asciiTheme="majorBidi" w:hAnsiTheme="majorBidi" w:cstheme="majorBidi"/>
                        <w:b/>
                        <w:color w:val="FFFFFF" w:themeColor="background1"/>
                        <w:sz w:val="20"/>
                        <w:szCs w:val="24"/>
                      </w:rPr>
                      <w:t>Nomor</w:t>
                    </w:r>
                    <w:proofErr w:type="spellEnd"/>
                    <w:r w:rsidRPr="00103EAB">
                      <w:rPr>
                        <w:rFonts w:asciiTheme="majorBidi" w:hAnsiTheme="majorBidi" w:cstheme="majorBidi"/>
                        <w:b/>
                        <w:color w:val="FFFFFF" w:themeColor="background1"/>
                        <w:sz w:val="20"/>
                        <w:szCs w:val="24"/>
                      </w:rPr>
                      <w:t>), Year, page.</w:t>
                    </w:r>
                  </w:p>
                  <w:p w:rsidR="0037431F" w:rsidRPr="00103EAB" w:rsidRDefault="0037431F" w:rsidP="00103EAB">
                    <w:pPr>
                      <w:spacing w:after="0" w:line="240" w:lineRule="auto"/>
                      <w:jc w:val="center"/>
                      <w:rPr>
                        <w:rFonts w:asciiTheme="majorBidi" w:hAnsiTheme="majorBidi" w:cstheme="majorBidi"/>
                        <w:b/>
                        <w:color w:val="FFFFFF" w:themeColor="background1"/>
                        <w:sz w:val="20"/>
                        <w:szCs w:val="24"/>
                      </w:rPr>
                    </w:pPr>
                    <w:proofErr w:type="gramStart"/>
                    <w:r w:rsidRPr="00103EAB">
                      <w:rPr>
                        <w:rFonts w:asciiTheme="majorBidi" w:hAnsiTheme="majorBidi" w:cstheme="majorBidi"/>
                        <w:b/>
                        <w:color w:val="FFFFFF" w:themeColor="background1"/>
                        <w:sz w:val="20"/>
                        <w:szCs w:val="24"/>
                      </w:rPr>
                      <w:t>DOI :</w:t>
                    </w:r>
                    <w:proofErr w:type="gramEnd"/>
                  </w:p>
                </w:txbxContent>
              </v:textbox>
            </v:rect>
          </w:pict>
        </mc:Fallback>
      </mc:AlternateContent>
    </w:r>
    <w:r>
      <w:rPr>
        <w:rFonts w:asciiTheme="majorBidi" w:hAnsiTheme="majorBidi" w:cstheme="majorBidi"/>
        <w:noProof/>
        <w:sz w:val="22"/>
        <w:szCs w:val="20"/>
        <w:lang w:val="id-ID" w:eastAsia="id-ID"/>
      </w:rPr>
      <w:drawing>
        <wp:inline distT="0" distB="0" distL="0" distR="0">
          <wp:extent cx="5772150" cy="1314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2150" cy="1314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
    <w:nsid w:val="3586453B"/>
    <w:multiLevelType w:val="singleLevel"/>
    <w:tmpl w:val="3586453B"/>
    <w:lvl w:ilvl="0">
      <w:start w:val="1"/>
      <w:numFmt w:val="upperLetter"/>
      <w:suff w:val="space"/>
      <w:lvlText w:val="%1."/>
      <w:lvlJc w:val="left"/>
    </w:lvl>
  </w:abstractNum>
  <w:abstractNum w:abstractNumId="4">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5">
    <w:nsid w:val="4F48320A"/>
    <w:multiLevelType w:val="hybridMultilevel"/>
    <w:tmpl w:val="D4A083D8"/>
    <w:lvl w:ilvl="0" w:tplc="04090015">
      <w:start w:val="1"/>
      <w:numFmt w:val="upperLetter"/>
      <w:lvlText w:val="%1."/>
      <w:lvlJc w:val="left"/>
      <w:pPr>
        <w:ind w:left="1151" w:hanging="360"/>
      </w:pPr>
    </w:lvl>
    <w:lvl w:ilvl="1" w:tplc="04210019" w:tentative="1">
      <w:start w:val="1"/>
      <w:numFmt w:val="lowerLetter"/>
      <w:lvlText w:val="%2."/>
      <w:lvlJc w:val="left"/>
      <w:pPr>
        <w:ind w:left="1871" w:hanging="360"/>
      </w:pPr>
    </w:lvl>
    <w:lvl w:ilvl="2" w:tplc="0421001B" w:tentative="1">
      <w:start w:val="1"/>
      <w:numFmt w:val="lowerRoman"/>
      <w:lvlText w:val="%3."/>
      <w:lvlJc w:val="right"/>
      <w:pPr>
        <w:ind w:left="2591" w:hanging="180"/>
      </w:pPr>
    </w:lvl>
    <w:lvl w:ilvl="3" w:tplc="0421000F" w:tentative="1">
      <w:start w:val="1"/>
      <w:numFmt w:val="decimal"/>
      <w:lvlText w:val="%4."/>
      <w:lvlJc w:val="left"/>
      <w:pPr>
        <w:ind w:left="3311" w:hanging="360"/>
      </w:pPr>
    </w:lvl>
    <w:lvl w:ilvl="4" w:tplc="04210019" w:tentative="1">
      <w:start w:val="1"/>
      <w:numFmt w:val="lowerLetter"/>
      <w:lvlText w:val="%5."/>
      <w:lvlJc w:val="left"/>
      <w:pPr>
        <w:ind w:left="4031" w:hanging="360"/>
      </w:pPr>
    </w:lvl>
    <w:lvl w:ilvl="5" w:tplc="0421001B" w:tentative="1">
      <w:start w:val="1"/>
      <w:numFmt w:val="lowerRoman"/>
      <w:lvlText w:val="%6."/>
      <w:lvlJc w:val="right"/>
      <w:pPr>
        <w:ind w:left="4751" w:hanging="180"/>
      </w:pPr>
    </w:lvl>
    <w:lvl w:ilvl="6" w:tplc="0421000F" w:tentative="1">
      <w:start w:val="1"/>
      <w:numFmt w:val="decimal"/>
      <w:lvlText w:val="%7."/>
      <w:lvlJc w:val="left"/>
      <w:pPr>
        <w:ind w:left="5471" w:hanging="360"/>
      </w:pPr>
    </w:lvl>
    <w:lvl w:ilvl="7" w:tplc="04210019" w:tentative="1">
      <w:start w:val="1"/>
      <w:numFmt w:val="lowerLetter"/>
      <w:lvlText w:val="%8."/>
      <w:lvlJc w:val="left"/>
      <w:pPr>
        <w:ind w:left="6191" w:hanging="360"/>
      </w:pPr>
    </w:lvl>
    <w:lvl w:ilvl="8" w:tplc="0421001B" w:tentative="1">
      <w:start w:val="1"/>
      <w:numFmt w:val="lowerRoman"/>
      <w:lvlText w:val="%9."/>
      <w:lvlJc w:val="right"/>
      <w:pPr>
        <w:ind w:left="6911" w:hanging="180"/>
      </w:pPr>
    </w:lvl>
  </w:abstractNum>
  <w:abstractNum w:abstractNumId="6">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52AE04BE"/>
    <w:multiLevelType w:val="singleLevel"/>
    <w:tmpl w:val="52AE04BE"/>
    <w:lvl w:ilvl="0">
      <w:start w:val="1"/>
      <w:numFmt w:val="upperLetter"/>
      <w:suff w:val="space"/>
      <w:lvlText w:val="%1."/>
      <w:lvlJc w:val="left"/>
    </w:lvl>
  </w:abstractNum>
  <w:abstractNum w:abstractNumId="8">
    <w:nsid w:val="60ED4221"/>
    <w:multiLevelType w:val="hybridMultilevel"/>
    <w:tmpl w:val="661EE8A2"/>
    <w:lvl w:ilvl="0" w:tplc="04090015">
      <w:start w:val="1"/>
      <w:numFmt w:val="upperLetter"/>
      <w:lvlText w:val="%1."/>
      <w:lvlJc w:val="left"/>
      <w:pPr>
        <w:ind w:left="1151" w:hanging="360"/>
      </w:pPr>
    </w:lvl>
    <w:lvl w:ilvl="1" w:tplc="04210019" w:tentative="1">
      <w:start w:val="1"/>
      <w:numFmt w:val="lowerLetter"/>
      <w:lvlText w:val="%2."/>
      <w:lvlJc w:val="left"/>
      <w:pPr>
        <w:ind w:left="1871" w:hanging="360"/>
      </w:pPr>
    </w:lvl>
    <w:lvl w:ilvl="2" w:tplc="0421001B" w:tentative="1">
      <w:start w:val="1"/>
      <w:numFmt w:val="lowerRoman"/>
      <w:lvlText w:val="%3."/>
      <w:lvlJc w:val="right"/>
      <w:pPr>
        <w:ind w:left="2591" w:hanging="180"/>
      </w:pPr>
    </w:lvl>
    <w:lvl w:ilvl="3" w:tplc="0421000F" w:tentative="1">
      <w:start w:val="1"/>
      <w:numFmt w:val="decimal"/>
      <w:lvlText w:val="%4."/>
      <w:lvlJc w:val="left"/>
      <w:pPr>
        <w:ind w:left="3311" w:hanging="360"/>
      </w:pPr>
    </w:lvl>
    <w:lvl w:ilvl="4" w:tplc="04210019" w:tentative="1">
      <w:start w:val="1"/>
      <w:numFmt w:val="lowerLetter"/>
      <w:lvlText w:val="%5."/>
      <w:lvlJc w:val="left"/>
      <w:pPr>
        <w:ind w:left="4031" w:hanging="360"/>
      </w:pPr>
    </w:lvl>
    <w:lvl w:ilvl="5" w:tplc="0421001B" w:tentative="1">
      <w:start w:val="1"/>
      <w:numFmt w:val="lowerRoman"/>
      <w:lvlText w:val="%6."/>
      <w:lvlJc w:val="right"/>
      <w:pPr>
        <w:ind w:left="4751" w:hanging="180"/>
      </w:pPr>
    </w:lvl>
    <w:lvl w:ilvl="6" w:tplc="0421000F" w:tentative="1">
      <w:start w:val="1"/>
      <w:numFmt w:val="decimal"/>
      <w:lvlText w:val="%7."/>
      <w:lvlJc w:val="left"/>
      <w:pPr>
        <w:ind w:left="5471" w:hanging="360"/>
      </w:pPr>
    </w:lvl>
    <w:lvl w:ilvl="7" w:tplc="04210019" w:tentative="1">
      <w:start w:val="1"/>
      <w:numFmt w:val="lowerLetter"/>
      <w:lvlText w:val="%8."/>
      <w:lvlJc w:val="left"/>
      <w:pPr>
        <w:ind w:left="6191" w:hanging="360"/>
      </w:pPr>
    </w:lvl>
    <w:lvl w:ilvl="8" w:tplc="0421001B" w:tentative="1">
      <w:start w:val="1"/>
      <w:numFmt w:val="lowerRoman"/>
      <w:lvlText w:val="%9."/>
      <w:lvlJc w:val="right"/>
      <w:pPr>
        <w:ind w:left="6911" w:hanging="180"/>
      </w:pPr>
    </w:lvl>
  </w:abstractNum>
  <w:abstractNum w:abstractNumId="9">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6"/>
  </w:num>
  <w:num w:numId="2">
    <w:abstractNumId w:val="9"/>
  </w:num>
  <w:num w:numId="3">
    <w:abstractNumId w:val="0"/>
  </w:num>
  <w:num w:numId="4">
    <w:abstractNumId w:val="1"/>
  </w:num>
  <w:num w:numId="5">
    <w:abstractNumId w:val="4"/>
  </w:num>
  <w:num w:numId="6">
    <w:abstractNumId w:val="3"/>
  </w:num>
  <w:num w:numId="7">
    <w:abstractNumId w:val="2"/>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AC"/>
    <w:rsid w:val="000010CF"/>
    <w:rsid w:val="00005BBA"/>
    <w:rsid w:val="00007BB2"/>
    <w:rsid w:val="00030C61"/>
    <w:rsid w:val="00032AD8"/>
    <w:rsid w:val="00060C52"/>
    <w:rsid w:val="00065279"/>
    <w:rsid w:val="0007113B"/>
    <w:rsid w:val="000738F7"/>
    <w:rsid w:val="00081C04"/>
    <w:rsid w:val="000B2D03"/>
    <w:rsid w:val="000C10F3"/>
    <w:rsid w:val="000C6F80"/>
    <w:rsid w:val="00100E8F"/>
    <w:rsid w:val="001016CA"/>
    <w:rsid w:val="00102993"/>
    <w:rsid w:val="00103EAB"/>
    <w:rsid w:val="0010618F"/>
    <w:rsid w:val="00106581"/>
    <w:rsid w:val="00116794"/>
    <w:rsid w:val="001239AF"/>
    <w:rsid w:val="001311AB"/>
    <w:rsid w:val="001341D5"/>
    <w:rsid w:val="001400C8"/>
    <w:rsid w:val="00151456"/>
    <w:rsid w:val="00155D69"/>
    <w:rsid w:val="00161B29"/>
    <w:rsid w:val="001879FA"/>
    <w:rsid w:val="00195A7B"/>
    <w:rsid w:val="00196D5F"/>
    <w:rsid w:val="001A3860"/>
    <w:rsid w:val="001A4685"/>
    <w:rsid w:val="001A4B73"/>
    <w:rsid w:val="001B291B"/>
    <w:rsid w:val="001B69DE"/>
    <w:rsid w:val="001B72FC"/>
    <w:rsid w:val="001C3308"/>
    <w:rsid w:val="001C77BB"/>
    <w:rsid w:val="001D4F4B"/>
    <w:rsid w:val="001D7B73"/>
    <w:rsid w:val="001E61DE"/>
    <w:rsid w:val="001F44F6"/>
    <w:rsid w:val="00200254"/>
    <w:rsid w:val="00217B86"/>
    <w:rsid w:val="0022500A"/>
    <w:rsid w:val="0023132B"/>
    <w:rsid w:val="00237363"/>
    <w:rsid w:val="00242BD8"/>
    <w:rsid w:val="002662F1"/>
    <w:rsid w:val="002668DC"/>
    <w:rsid w:val="002672C9"/>
    <w:rsid w:val="00277ACF"/>
    <w:rsid w:val="002801EF"/>
    <w:rsid w:val="00281683"/>
    <w:rsid w:val="00286A71"/>
    <w:rsid w:val="0029198E"/>
    <w:rsid w:val="0029675F"/>
    <w:rsid w:val="002A5939"/>
    <w:rsid w:val="002B485B"/>
    <w:rsid w:val="002C0F5D"/>
    <w:rsid w:val="002C233F"/>
    <w:rsid w:val="002C4EBF"/>
    <w:rsid w:val="002D1845"/>
    <w:rsid w:val="002E147E"/>
    <w:rsid w:val="002F4E04"/>
    <w:rsid w:val="003047F0"/>
    <w:rsid w:val="00306606"/>
    <w:rsid w:val="0031439F"/>
    <w:rsid w:val="003217BF"/>
    <w:rsid w:val="003261EC"/>
    <w:rsid w:val="00356ADB"/>
    <w:rsid w:val="00362B7F"/>
    <w:rsid w:val="003647E3"/>
    <w:rsid w:val="00364EBA"/>
    <w:rsid w:val="003655BE"/>
    <w:rsid w:val="0036665F"/>
    <w:rsid w:val="00372984"/>
    <w:rsid w:val="00372B57"/>
    <w:rsid w:val="0037431F"/>
    <w:rsid w:val="003743CF"/>
    <w:rsid w:val="0037771B"/>
    <w:rsid w:val="0039654A"/>
    <w:rsid w:val="00396CEC"/>
    <w:rsid w:val="003A23B7"/>
    <w:rsid w:val="003B321A"/>
    <w:rsid w:val="003C2629"/>
    <w:rsid w:val="003C4A25"/>
    <w:rsid w:val="003D0B8A"/>
    <w:rsid w:val="003D2356"/>
    <w:rsid w:val="003D3336"/>
    <w:rsid w:val="003E084D"/>
    <w:rsid w:val="003F360E"/>
    <w:rsid w:val="003F57A5"/>
    <w:rsid w:val="003F5CE6"/>
    <w:rsid w:val="004000AB"/>
    <w:rsid w:val="00404CAD"/>
    <w:rsid w:val="00407754"/>
    <w:rsid w:val="00411726"/>
    <w:rsid w:val="004155DF"/>
    <w:rsid w:val="00415B10"/>
    <w:rsid w:val="0041666A"/>
    <w:rsid w:val="00417A5E"/>
    <w:rsid w:val="00421D9D"/>
    <w:rsid w:val="00427CFA"/>
    <w:rsid w:val="00436900"/>
    <w:rsid w:val="004700F1"/>
    <w:rsid w:val="004A63A8"/>
    <w:rsid w:val="004B3441"/>
    <w:rsid w:val="004C5EC9"/>
    <w:rsid w:val="004D4F11"/>
    <w:rsid w:val="004F4E6F"/>
    <w:rsid w:val="00501D87"/>
    <w:rsid w:val="00502322"/>
    <w:rsid w:val="005060EC"/>
    <w:rsid w:val="00521202"/>
    <w:rsid w:val="005315F1"/>
    <w:rsid w:val="00537260"/>
    <w:rsid w:val="00540406"/>
    <w:rsid w:val="005611DA"/>
    <w:rsid w:val="00562752"/>
    <w:rsid w:val="00572C46"/>
    <w:rsid w:val="00577B14"/>
    <w:rsid w:val="00581444"/>
    <w:rsid w:val="00591836"/>
    <w:rsid w:val="00596043"/>
    <w:rsid w:val="005A3FF5"/>
    <w:rsid w:val="005B1205"/>
    <w:rsid w:val="005B172F"/>
    <w:rsid w:val="005B68D8"/>
    <w:rsid w:val="005C28B5"/>
    <w:rsid w:val="005D0D36"/>
    <w:rsid w:val="005D1BE1"/>
    <w:rsid w:val="005E0C66"/>
    <w:rsid w:val="005E574B"/>
    <w:rsid w:val="005F3034"/>
    <w:rsid w:val="00627FB2"/>
    <w:rsid w:val="00632C2E"/>
    <w:rsid w:val="00637600"/>
    <w:rsid w:val="0064474F"/>
    <w:rsid w:val="00646DCB"/>
    <w:rsid w:val="00660A28"/>
    <w:rsid w:val="00673E78"/>
    <w:rsid w:val="00674C5F"/>
    <w:rsid w:val="006863B6"/>
    <w:rsid w:val="00690914"/>
    <w:rsid w:val="00691A8F"/>
    <w:rsid w:val="00692F5F"/>
    <w:rsid w:val="00694C0F"/>
    <w:rsid w:val="00695B1B"/>
    <w:rsid w:val="006A596B"/>
    <w:rsid w:val="006A7E24"/>
    <w:rsid w:val="006B2E42"/>
    <w:rsid w:val="006B49B4"/>
    <w:rsid w:val="006B597E"/>
    <w:rsid w:val="006C1851"/>
    <w:rsid w:val="006D24C6"/>
    <w:rsid w:val="006D488F"/>
    <w:rsid w:val="006D4EF6"/>
    <w:rsid w:val="006E1341"/>
    <w:rsid w:val="006F1165"/>
    <w:rsid w:val="006F4D07"/>
    <w:rsid w:val="007004C1"/>
    <w:rsid w:val="00701B80"/>
    <w:rsid w:val="00715FB6"/>
    <w:rsid w:val="007171CF"/>
    <w:rsid w:val="00721069"/>
    <w:rsid w:val="007276DD"/>
    <w:rsid w:val="00737085"/>
    <w:rsid w:val="00737921"/>
    <w:rsid w:val="007529C2"/>
    <w:rsid w:val="00753412"/>
    <w:rsid w:val="00757D24"/>
    <w:rsid w:val="00761E29"/>
    <w:rsid w:val="00764AEB"/>
    <w:rsid w:val="0077297E"/>
    <w:rsid w:val="00772C87"/>
    <w:rsid w:val="0077349B"/>
    <w:rsid w:val="00777E34"/>
    <w:rsid w:val="00780473"/>
    <w:rsid w:val="00781AAA"/>
    <w:rsid w:val="00791BDC"/>
    <w:rsid w:val="00795706"/>
    <w:rsid w:val="007A3AB1"/>
    <w:rsid w:val="007A6482"/>
    <w:rsid w:val="007B0B75"/>
    <w:rsid w:val="007B14E2"/>
    <w:rsid w:val="007B1F45"/>
    <w:rsid w:val="007C6544"/>
    <w:rsid w:val="007D7A77"/>
    <w:rsid w:val="007E617B"/>
    <w:rsid w:val="007E6BF1"/>
    <w:rsid w:val="007F1976"/>
    <w:rsid w:val="00816A24"/>
    <w:rsid w:val="0082544E"/>
    <w:rsid w:val="00825D48"/>
    <w:rsid w:val="00840E9E"/>
    <w:rsid w:val="008465B0"/>
    <w:rsid w:val="00850196"/>
    <w:rsid w:val="008517F5"/>
    <w:rsid w:val="008721D4"/>
    <w:rsid w:val="00886E2A"/>
    <w:rsid w:val="008B13A3"/>
    <w:rsid w:val="008B6F50"/>
    <w:rsid w:val="008C340D"/>
    <w:rsid w:val="008C68A0"/>
    <w:rsid w:val="008E6ABB"/>
    <w:rsid w:val="008F502F"/>
    <w:rsid w:val="009000DA"/>
    <w:rsid w:val="009008F1"/>
    <w:rsid w:val="00900AE8"/>
    <w:rsid w:val="009106F3"/>
    <w:rsid w:val="00922BE0"/>
    <w:rsid w:val="009238CE"/>
    <w:rsid w:val="00927D49"/>
    <w:rsid w:val="0093311E"/>
    <w:rsid w:val="00941430"/>
    <w:rsid w:val="00944A60"/>
    <w:rsid w:val="00953C50"/>
    <w:rsid w:val="00962D37"/>
    <w:rsid w:val="00974F1C"/>
    <w:rsid w:val="00997417"/>
    <w:rsid w:val="009A0CDE"/>
    <w:rsid w:val="009A3655"/>
    <w:rsid w:val="009B044A"/>
    <w:rsid w:val="009B26A9"/>
    <w:rsid w:val="009B4736"/>
    <w:rsid w:val="009C4EA1"/>
    <w:rsid w:val="009C695A"/>
    <w:rsid w:val="009D518E"/>
    <w:rsid w:val="009E6447"/>
    <w:rsid w:val="009E6D11"/>
    <w:rsid w:val="009F7061"/>
    <w:rsid w:val="00A211CB"/>
    <w:rsid w:val="00A2421D"/>
    <w:rsid w:val="00A25EFC"/>
    <w:rsid w:val="00A267E0"/>
    <w:rsid w:val="00A2709F"/>
    <w:rsid w:val="00A2785E"/>
    <w:rsid w:val="00A27D32"/>
    <w:rsid w:val="00A41493"/>
    <w:rsid w:val="00A44933"/>
    <w:rsid w:val="00A55390"/>
    <w:rsid w:val="00A63CDF"/>
    <w:rsid w:val="00A64598"/>
    <w:rsid w:val="00A6602C"/>
    <w:rsid w:val="00A71C23"/>
    <w:rsid w:val="00A770AB"/>
    <w:rsid w:val="00A80D2C"/>
    <w:rsid w:val="00AA0ADA"/>
    <w:rsid w:val="00AA4A63"/>
    <w:rsid w:val="00AB3EFE"/>
    <w:rsid w:val="00AE255C"/>
    <w:rsid w:val="00AE3093"/>
    <w:rsid w:val="00AE3778"/>
    <w:rsid w:val="00AF51C0"/>
    <w:rsid w:val="00B11968"/>
    <w:rsid w:val="00B33949"/>
    <w:rsid w:val="00B359C4"/>
    <w:rsid w:val="00B37629"/>
    <w:rsid w:val="00B65385"/>
    <w:rsid w:val="00B70CF7"/>
    <w:rsid w:val="00B70FED"/>
    <w:rsid w:val="00B751FC"/>
    <w:rsid w:val="00B752F9"/>
    <w:rsid w:val="00B80611"/>
    <w:rsid w:val="00B90943"/>
    <w:rsid w:val="00B9678B"/>
    <w:rsid w:val="00BB0D8E"/>
    <w:rsid w:val="00BB5B85"/>
    <w:rsid w:val="00BB6957"/>
    <w:rsid w:val="00BC26FD"/>
    <w:rsid w:val="00BC2F07"/>
    <w:rsid w:val="00BC3FAE"/>
    <w:rsid w:val="00BC48D4"/>
    <w:rsid w:val="00BD4209"/>
    <w:rsid w:val="00BE0072"/>
    <w:rsid w:val="00BF3116"/>
    <w:rsid w:val="00BF5151"/>
    <w:rsid w:val="00C1236D"/>
    <w:rsid w:val="00C302DE"/>
    <w:rsid w:val="00C3179E"/>
    <w:rsid w:val="00C452C6"/>
    <w:rsid w:val="00C52883"/>
    <w:rsid w:val="00C63498"/>
    <w:rsid w:val="00C6573B"/>
    <w:rsid w:val="00C819A0"/>
    <w:rsid w:val="00C82EFC"/>
    <w:rsid w:val="00C87066"/>
    <w:rsid w:val="00C95F24"/>
    <w:rsid w:val="00C96E1A"/>
    <w:rsid w:val="00CC1257"/>
    <w:rsid w:val="00CC7A71"/>
    <w:rsid w:val="00CD31AB"/>
    <w:rsid w:val="00CD3ECB"/>
    <w:rsid w:val="00CE5668"/>
    <w:rsid w:val="00CF1696"/>
    <w:rsid w:val="00D02DC2"/>
    <w:rsid w:val="00D1714C"/>
    <w:rsid w:val="00D20E8C"/>
    <w:rsid w:val="00D256C8"/>
    <w:rsid w:val="00D30DD9"/>
    <w:rsid w:val="00D32690"/>
    <w:rsid w:val="00D37DFE"/>
    <w:rsid w:val="00D37EB9"/>
    <w:rsid w:val="00D4523F"/>
    <w:rsid w:val="00D629D2"/>
    <w:rsid w:val="00D62BA9"/>
    <w:rsid w:val="00D635E7"/>
    <w:rsid w:val="00D708C6"/>
    <w:rsid w:val="00D744F0"/>
    <w:rsid w:val="00D75FDB"/>
    <w:rsid w:val="00D96F96"/>
    <w:rsid w:val="00DA2303"/>
    <w:rsid w:val="00DA47FF"/>
    <w:rsid w:val="00DA678F"/>
    <w:rsid w:val="00DB1A70"/>
    <w:rsid w:val="00DB35B2"/>
    <w:rsid w:val="00DB4191"/>
    <w:rsid w:val="00DB419C"/>
    <w:rsid w:val="00DB5F07"/>
    <w:rsid w:val="00DB7BBD"/>
    <w:rsid w:val="00DC0448"/>
    <w:rsid w:val="00DC7C41"/>
    <w:rsid w:val="00DE59C8"/>
    <w:rsid w:val="00DF0DB4"/>
    <w:rsid w:val="00E01F37"/>
    <w:rsid w:val="00E0246B"/>
    <w:rsid w:val="00E057F9"/>
    <w:rsid w:val="00E06602"/>
    <w:rsid w:val="00E12716"/>
    <w:rsid w:val="00E168F1"/>
    <w:rsid w:val="00E17DDC"/>
    <w:rsid w:val="00E23B02"/>
    <w:rsid w:val="00E25DE7"/>
    <w:rsid w:val="00E31F79"/>
    <w:rsid w:val="00E37C56"/>
    <w:rsid w:val="00E44E6D"/>
    <w:rsid w:val="00E460E3"/>
    <w:rsid w:val="00E46B9F"/>
    <w:rsid w:val="00E470F5"/>
    <w:rsid w:val="00E47907"/>
    <w:rsid w:val="00E566C8"/>
    <w:rsid w:val="00E56BA9"/>
    <w:rsid w:val="00E603B8"/>
    <w:rsid w:val="00E6292C"/>
    <w:rsid w:val="00E74D71"/>
    <w:rsid w:val="00E77D1B"/>
    <w:rsid w:val="00EA029B"/>
    <w:rsid w:val="00EA2FAC"/>
    <w:rsid w:val="00EA5606"/>
    <w:rsid w:val="00EB3605"/>
    <w:rsid w:val="00EB4337"/>
    <w:rsid w:val="00EC425F"/>
    <w:rsid w:val="00EC42BB"/>
    <w:rsid w:val="00EC5F28"/>
    <w:rsid w:val="00EC61AE"/>
    <w:rsid w:val="00EC6F59"/>
    <w:rsid w:val="00ED643C"/>
    <w:rsid w:val="00EE4B3F"/>
    <w:rsid w:val="00EE6083"/>
    <w:rsid w:val="00EF2229"/>
    <w:rsid w:val="00F12290"/>
    <w:rsid w:val="00F25424"/>
    <w:rsid w:val="00F301E5"/>
    <w:rsid w:val="00F34EF4"/>
    <w:rsid w:val="00F40B4D"/>
    <w:rsid w:val="00F509E2"/>
    <w:rsid w:val="00F749E9"/>
    <w:rsid w:val="00F816D5"/>
    <w:rsid w:val="00F87AFD"/>
    <w:rsid w:val="00F9029C"/>
    <w:rsid w:val="00F904B2"/>
    <w:rsid w:val="00F90AD0"/>
    <w:rsid w:val="00F97B1C"/>
    <w:rsid w:val="00FB0E33"/>
    <w:rsid w:val="00FB2352"/>
    <w:rsid w:val="00FC2F43"/>
    <w:rsid w:val="00FD16E1"/>
    <w:rsid w:val="00FD2EE8"/>
    <w:rsid w:val="00FD5834"/>
    <w:rsid w:val="00FF1306"/>
    <w:rsid w:val="00FF1655"/>
    <w:rsid w:val="00FF7763"/>
    <w:rsid w:val="050C78A8"/>
    <w:rsid w:val="05BA4FB0"/>
    <w:rsid w:val="09CC087A"/>
    <w:rsid w:val="1D810588"/>
    <w:rsid w:val="1EB31103"/>
    <w:rsid w:val="25D250F2"/>
    <w:rsid w:val="3667109D"/>
    <w:rsid w:val="376C7693"/>
    <w:rsid w:val="3D4947B1"/>
    <w:rsid w:val="3F695FC1"/>
    <w:rsid w:val="467B4466"/>
    <w:rsid w:val="59547D99"/>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B2"/>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39"/>
    <w:qFormat/>
    <w:rsid w:val="001B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basedOn w:val="Normal"/>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B2"/>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1B72F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B72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2F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1B7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72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72F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B72F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B72F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B72F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B72F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1B72FC"/>
    <w:rPr>
      <w:vertAlign w:val="superscript"/>
    </w:rPr>
  </w:style>
  <w:style w:type="paragraph" w:styleId="EndnoteText">
    <w:name w:val="endnote text"/>
    <w:basedOn w:val="Normal"/>
    <w:link w:val="EndnoteTextChar"/>
    <w:uiPriority w:val="99"/>
    <w:semiHidden/>
    <w:unhideWhenUsed/>
    <w:rsid w:val="001B72FC"/>
    <w:pPr>
      <w:spacing w:after="0" w:line="240" w:lineRule="auto"/>
    </w:pPr>
    <w:rPr>
      <w:sz w:val="20"/>
      <w:szCs w:val="20"/>
    </w:rPr>
  </w:style>
  <w:style w:type="paragraph" w:styleId="Footer">
    <w:name w:val="footer"/>
    <w:basedOn w:val="Normal"/>
    <w:link w:val="FooterChar"/>
    <w:uiPriority w:val="99"/>
    <w:unhideWhenUsed/>
    <w:qFormat/>
    <w:rsid w:val="001B72F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1B72FC"/>
    <w:rPr>
      <w:vertAlign w:val="superscript"/>
    </w:rPr>
  </w:style>
  <w:style w:type="paragraph" w:styleId="FootnoteText">
    <w:name w:val="footnote text"/>
    <w:basedOn w:val="Normal"/>
    <w:link w:val="FootnoteTextChar"/>
    <w:uiPriority w:val="99"/>
    <w:semiHidden/>
    <w:unhideWhenUsed/>
    <w:qFormat/>
    <w:rsid w:val="001B72FC"/>
    <w:pPr>
      <w:spacing w:after="0" w:line="240" w:lineRule="auto"/>
    </w:pPr>
    <w:rPr>
      <w:sz w:val="20"/>
      <w:szCs w:val="20"/>
    </w:rPr>
  </w:style>
  <w:style w:type="paragraph" w:styleId="Header">
    <w:name w:val="header"/>
    <w:basedOn w:val="Normal"/>
    <w:link w:val="HeaderChar"/>
    <w:uiPriority w:val="99"/>
    <w:unhideWhenUsed/>
    <w:qFormat/>
    <w:rsid w:val="001B72FC"/>
    <w:pPr>
      <w:tabs>
        <w:tab w:val="center" w:pos="4680"/>
        <w:tab w:val="right" w:pos="9360"/>
      </w:tabs>
      <w:spacing w:after="0" w:line="240" w:lineRule="auto"/>
    </w:pPr>
  </w:style>
  <w:style w:type="character" w:styleId="Hyperlink">
    <w:name w:val="Hyperlink"/>
    <w:basedOn w:val="DefaultParagraphFont"/>
    <w:uiPriority w:val="99"/>
    <w:unhideWhenUsed/>
    <w:qFormat/>
    <w:rsid w:val="001B72FC"/>
    <w:rPr>
      <w:color w:val="0563C1" w:themeColor="hyperlink"/>
      <w:u w:val="single"/>
    </w:rPr>
  </w:style>
  <w:style w:type="table" w:styleId="TableGrid">
    <w:name w:val="Table Grid"/>
    <w:basedOn w:val="TableNormal"/>
    <w:uiPriority w:val="39"/>
    <w:qFormat/>
    <w:rsid w:val="001B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1B72FC"/>
    <w:rPr>
      <w:color w:val="808080"/>
    </w:rPr>
  </w:style>
  <w:style w:type="character" w:customStyle="1" w:styleId="JUDUL">
    <w:name w:val="JUDUL"/>
    <w:basedOn w:val="DefaultParagraphFont"/>
    <w:uiPriority w:val="1"/>
    <w:qFormat/>
    <w:rsid w:val="001B72FC"/>
  </w:style>
  <w:style w:type="character" w:customStyle="1" w:styleId="Heading1Char">
    <w:name w:val="Heading 1 Char"/>
    <w:basedOn w:val="DefaultParagraphFont"/>
    <w:link w:val="Heading1"/>
    <w:uiPriority w:val="9"/>
    <w:qFormat/>
    <w:rsid w:val="001B72FC"/>
    <w:rPr>
      <w:rFonts w:eastAsiaTheme="majorEastAsia" w:cstheme="majorBidi"/>
      <w:b/>
      <w:szCs w:val="32"/>
    </w:rPr>
  </w:style>
  <w:style w:type="paragraph" w:styleId="NoSpacing">
    <w:name w:val="No Spacing"/>
    <w:link w:val="NoSpacingChar"/>
    <w:uiPriority w:val="1"/>
    <w:qFormat/>
    <w:rsid w:val="001B72FC"/>
    <w:rPr>
      <w:sz w:val="22"/>
      <w:szCs w:val="22"/>
    </w:rPr>
  </w:style>
  <w:style w:type="character" w:customStyle="1" w:styleId="NoSpacingChar">
    <w:name w:val="No Spacing Char"/>
    <w:basedOn w:val="DefaultParagraphFont"/>
    <w:link w:val="NoSpacing"/>
    <w:uiPriority w:val="1"/>
    <w:qFormat/>
    <w:rsid w:val="001B72FC"/>
    <w:rPr>
      <w:rFonts w:asciiTheme="minorHAnsi" w:eastAsiaTheme="minorEastAsia" w:hAnsiTheme="minorHAnsi"/>
      <w:sz w:val="22"/>
    </w:rPr>
  </w:style>
  <w:style w:type="paragraph" w:customStyle="1" w:styleId="Abstract">
    <w:name w:val="Abstract"/>
    <w:basedOn w:val="Normal"/>
    <w:link w:val="AbstractChar"/>
    <w:qFormat/>
    <w:rsid w:val="001B72FC"/>
    <w:pPr>
      <w:spacing w:after="0" w:line="240" w:lineRule="auto"/>
      <w:ind w:firstLine="709"/>
      <w:jc w:val="both"/>
    </w:pPr>
    <w:rPr>
      <w:i/>
      <w:sz w:val="20"/>
    </w:rPr>
  </w:style>
  <w:style w:type="paragraph" w:customStyle="1" w:styleId="textnormal">
    <w:name w:val="text normal"/>
    <w:basedOn w:val="Normal"/>
    <w:link w:val="textnormalChar"/>
    <w:qFormat/>
    <w:rsid w:val="001B72FC"/>
    <w:pPr>
      <w:spacing w:after="0" w:line="240" w:lineRule="auto"/>
      <w:jc w:val="both"/>
    </w:pPr>
  </w:style>
  <w:style w:type="character" w:customStyle="1" w:styleId="AbstractChar">
    <w:name w:val="Abstract Char"/>
    <w:basedOn w:val="DefaultParagraphFont"/>
    <w:link w:val="Abstract"/>
    <w:qFormat/>
    <w:rsid w:val="001B72FC"/>
    <w:rPr>
      <w:i/>
      <w:sz w:val="20"/>
    </w:rPr>
  </w:style>
  <w:style w:type="paragraph" w:styleId="ListParagraph">
    <w:name w:val="List Paragraph"/>
    <w:basedOn w:val="Normal"/>
    <w:uiPriority w:val="34"/>
    <w:qFormat/>
    <w:rsid w:val="001B72FC"/>
    <w:pPr>
      <w:ind w:left="720"/>
      <w:contextualSpacing/>
    </w:pPr>
  </w:style>
  <w:style w:type="character" w:customStyle="1" w:styleId="textnormalChar">
    <w:name w:val="text normal Char"/>
    <w:basedOn w:val="DefaultParagraphFont"/>
    <w:link w:val="textnormal"/>
    <w:qFormat/>
    <w:rsid w:val="001B72FC"/>
  </w:style>
  <w:style w:type="character" w:customStyle="1" w:styleId="HeaderChar">
    <w:name w:val="Header Char"/>
    <w:basedOn w:val="DefaultParagraphFont"/>
    <w:link w:val="Header"/>
    <w:uiPriority w:val="99"/>
    <w:qFormat/>
    <w:rsid w:val="001B72FC"/>
  </w:style>
  <w:style w:type="character" w:customStyle="1" w:styleId="FooterChar">
    <w:name w:val="Footer Char"/>
    <w:basedOn w:val="DefaultParagraphFont"/>
    <w:link w:val="Footer"/>
    <w:uiPriority w:val="99"/>
    <w:qFormat/>
    <w:rsid w:val="001B72FC"/>
  </w:style>
  <w:style w:type="character" w:customStyle="1" w:styleId="BalloonTextChar">
    <w:name w:val="Balloon Text Char"/>
    <w:basedOn w:val="DefaultParagraphFont"/>
    <w:link w:val="BalloonText"/>
    <w:uiPriority w:val="99"/>
    <w:semiHidden/>
    <w:qFormat/>
    <w:rsid w:val="001B72FC"/>
    <w:rPr>
      <w:rFonts w:ascii="Tahoma" w:hAnsi="Tahoma" w:cs="Tahoma"/>
      <w:sz w:val="16"/>
      <w:szCs w:val="16"/>
    </w:rPr>
  </w:style>
  <w:style w:type="character" w:customStyle="1" w:styleId="Style1">
    <w:name w:val="Style1"/>
    <w:basedOn w:val="DefaultParagraphFont"/>
    <w:uiPriority w:val="1"/>
    <w:qFormat/>
    <w:rsid w:val="001B72FC"/>
    <w:rPr>
      <w:rFonts w:ascii="Times New Roman" w:hAnsi="Times New Roman"/>
      <w:i/>
      <w:sz w:val="22"/>
    </w:rPr>
  </w:style>
  <w:style w:type="character" w:customStyle="1" w:styleId="Style2">
    <w:name w:val="Style2"/>
    <w:basedOn w:val="DefaultParagraphFont"/>
    <w:uiPriority w:val="1"/>
    <w:qFormat/>
    <w:rsid w:val="001B72FC"/>
    <w:rPr>
      <w:sz w:val="20"/>
    </w:rPr>
  </w:style>
  <w:style w:type="character" w:customStyle="1" w:styleId="Heading2Char">
    <w:name w:val="Heading 2 Char"/>
    <w:basedOn w:val="DefaultParagraphFont"/>
    <w:link w:val="Heading2"/>
    <w:uiPriority w:val="9"/>
    <w:qFormat/>
    <w:rsid w:val="001B72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1B72F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1B72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1B72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1B72F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1B72F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1B72F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B72F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1B72FC"/>
    <w:pPr>
      <w:spacing w:before="240" w:after="240" w:line="276" w:lineRule="auto"/>
      <w:jc w:val="left"/>
    </w:pPr>
    <w:rPr>
      <w:bCs/>
      <w:sz w:val="21"/>
      <w:lang w:val="id-ID"/>
    </w:rPr>
  </w:style>
  <w:style w:type="paragraph" w:customStyle="1" w:styleId="Reference">
    <w:name w:val="Reference"/>
    <w:qFormat/>
    <w:rsid w:val="001B72FC"/>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1B72FC"/>
    <w:rPr>
      <w:sz w:val="20"/>
      <w:szCs w:val="20"/>
    </w:rPr>
  </w:style>
  <w:style w:type="character" w:customStyle="1" w:styleId="EndnoteTextChar">
    <w:name w:val="Endnote Text Char"/>
    <w:basedOn w:val="DefaultParagraphFont"/>
    <w:link w:val="EndnoteText"/>
    <w:uiPriority w:val="99"/>
    <w:semiHidden/>
    <w:rsid w:val="001B72FC"/>
    <w:rPr>
      <w:sz w:val="20"/>
      <w:szCs w:val="20"/>
    </w:rPr>
  </w:style>
  <w:style w:type="paragraph" w:customStyle="1" w:styleId="IJASEITParagraph">
    <w:name w:val="IJASEIT Paragraph"/>
    <w:basedOn w:val="Normal"/>
    <w:rsid w:val="001B72FC"/>
    <w:pPr>
      <w:adjustRightInd w:val="0"/>
      <w:snapToGrid w:val="0"/>
      <w:ind w:firstLine="216"/>
      <w:jc w:val="both"/>
    </w:pPr>
    <w:rPr>
      <w:sz w:val="20"/>
    </w:rPr>
  </w:style>
  <w:style w:type="paragraph" w:customStyle="1" w:styleId="IJASEITHeading2">
    <w:name w:val="IJASEIT Heading 2"/>
    <w:basedOn w:val="Normal"/>
    <w:next w:val="IJASEITParagraph"/>
    <w:rsid w:val="001B72F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1B72F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1B72FC"/>
    <w:pPr>
      <w:spacing w:before="0"/>
    </w:pPr>
    <w:rPr>
      <w:sz w:val="16"/>
    </w:rPr>
  </w:style>
  <w:style w:type="paragraph" w:customStyle="1" w:styleId="IJASEITTitle">
    <w:name w:val="IJASEIT Title"/>
    <w:basedOn w:val="Normal"/>
    <w:next w:val="IJASEITAuthorName"/>
    <w:qFormat/>
    <w:rsid w:val="001B72FC"/>
    <w:pPr>
      <w:adjustRightInd w:val="0"/>
      <w:snapToGrid w:val="0"/>
      <w:spacing w:before="2560"/>
      <w:jc w:val="center"/>
    </w:pPr>
    <w:rPr>
      <w:sz w:val="36"/>
    </w:rPr>
  </w:style>
  <w:style w:type="paragraph" w:customStyle="1" w:styleId="IJASEITAuthorName">
    <w:name w:val="IJASEIT Author Name"/>
    <w:basedOn w:val="Normal"/>
    <w:next w:val="Normal"/>
    <w:qFormat/>
    <w:rsid w:val="001B72F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1B72F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1B72FC"/>
    <w:pPr>
      <w:numPr>
        <w:numId w:val="4"/>
      </w:numPr>
      <w:adjustRightInd w:val="0"/>
      <w:snapToGrid w:val="0"/>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chart" Target="charts/chart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chart" Target="charts/chart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chart" Target="charts/chart1.xml"/><Relationship Id="rId37" Type="http://schemas.openxmlformats.org/officeDocument/2006/relationships/image" Target="media/image12.png"/><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4.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chart" Target="charts/chart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emester%208\0.%20Seminar%20Proposal%20New\Seminar%20Proposal%20Fix\Jurnal%20Pillar%20of%20Physics\Template%20pillar%20of%20physics%20paper%20for%20A4%20page%20size%20(2103202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emester%208\0.%20Seminar%20Proposal%20New\Seminar%20Proposal%20Fix\DATA%20TA\PGA%20Hitu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emester%208\0.%20Seminar%20Proposal%20New\Seminar%20Proposal%20Fix\DATA%20TA\PGA%20Hitu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emester%208\0.%20Seminar%20Proposal%20New\Seminar%20Proposal%20Fix\DATA%20TA\PGA%20Hitu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emester%208\0.%20Seminar%20Proposal%20New\Seminar%20Proposal%20Fix\DATA%20TA\PGA%20Hitu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17548092219251"/>
          <c:y val="6.1366806136680614E-2"/>
          <c:w val="0.69788857723008246"/>
          <c:h val="0.61682425680053588"/>
        </c:manualLayout>
      </c:layout>
      <c:lineChart>
        <c:grouping val="standard"/>
        <c:varyColors val="0"/>
        <c:ser>
          <c:idx val="0"/>
          <c:order val="0"/>
          <c:tx>
            <c:strRef>
              <c:f>Sheet4!$A$1</c:f>
              <c:strCache>
                <c:ptCount val="1"/>
                <c:pt idx="0">
                  <c:v>Mc. Guire</c:v>
                </c:pt>
              </c:strCache>
            </c:strRef>
          </c:tx>
          <c:spPr>
            <a:ln>
              <a:solidFill>
                <a:schemeClr val="accent2"/>
              </a:solidFill>
            </a:ln>
          </c:spPr>
          <c:marker>
            <c:spPr>
              <a:solidFill>
                <a:schemeClr val="accent2"/>
              </a:solidFill>
              <a:ln>
                <a:solidFill>
                  <a:schemeClr val="accent2"/>
                </a:solidFill>
              </a:ln>
            </c:spPr>
          </c:marker>
          <c:val>
            <c:numRef>
              <c:f>Sheet4!$A$2:$A$23</c:f>
              <c:numCache>
                <c:formatCode>0.00</c:formatCode>
                <c:ptCount val="22"/>
                <c:pt idx="0">
                  <c:v>21.988402091567028</c:v>
                </c:pt>
                <c:pt idx="1">
                  <c:v>14.416109191407841</c:v>
                </c:pt>
                <c:pt idx="2">
                  <c:v>16.352391307955376</c:v>
                </c:pt>
                <c:pt idx="3">
                  <c:v>17.352622208466009</c:v>
                </c:pt>
                <c:pt idx="4">
                  <c:v>13.37</c:v>
                </c:pt>
                <c:pt idx="5">
                  <c:v>9.32</c:v>
                </c:pt>
                <c:pt idx="6">
                  <c:v>19.176807829517486</c:v>
                </c:pt>
                <c:pt idx="7">
                  <c:v>10.761907335812937</c:v>
                </c:pt>
                <c:pt idx="8">
                  <c:v>16.68860697042642</c:v>
                </c:pt>
                <c:pt idx="9">
                  <c:v>18.526018486745656</c:v>
                </c:pt>
                <c:pt idx="10">
                  <c:v>18.362765290768625</c:v>
                </c:pt>
                <c:pt idx="11">
                  <c:v>11.881253280780383</c:v>
                </c:pt>
                <c:pt idx="12">
                  <c:v>19.570614065491743</c:v>
                </c:pt>
                <c:pt idx="13">
                  <c:v>12.690687814791577</c:v>
                </c:pt>
                <c:pt idx="14">
                  <c:v>16.031780605065112</c:v>
                </c:pt>
                <c:pt idx="15">
                  <c:v>16.379583458625952</c:v>
                </c:pt>
                <c:pt idx="16">
                  <c:v>9.5636150203198458</c:v>
                </c:pt>
                <c:pt idx="17">
                  <c:v>9.8668330651433962</c:v>
                </c:pt>
                <c:pt idx="18">
                  <c:v>8.6376916202439187</c:v>
                </c:pt>
                <c:pt idx="19">
                  <c:v>7.6971751153725236</c:v>
                </c:pt>
                <c:pt idx="20">
                  <c:v>7.3886380424395268</c:v>
                </c:pt>
                <c:pt idx="21">
                  <c:v>17.091288599767783</c:v>
                </c:pt>
              </c:numCache>
            </c:numRef>
          </c:val>
          <c:smooth val="0"/>
        </c:ser>
        <c:ser>
          <c:idx val="1"/>
          <c:order val="1"/>
          <c:tx>
            <c:strRef>
              <c:f>Sheet4!$B$1</c:f>
              <c:strCache>
                <c:ptCount val="1"/>
                <c:pt idx="0">
                  <c:v>Akselerograf</c:v>
                </c:pt>
              </c:strCache>
            </c:strRef>
          </c:tx>
          <c:spPr>
            <a:ln>
              <a:solidFill>
                <a:schemeClr val="accent5"/>
              </a:solidFill>
            </a:ln>
          </c:spPr>
          <c:marker>
            <c:spPr>
              <a:solidFill>
                <a:schemeClr val="accent5"/>
              </a:solidFill>
              <a:ln>
                <a:solidFill>
                  <a:schemeClr val="accent5"/>
                </a:solidFill>
              </a:ln>
            </c:spPr>
          </c:marker>
          <c:val>
            <c:numRef>
              <c:f>Sheet4!$B$2:$B$23</c:f>
              <c:numCache>
                <c:formatCode>0.00</c:formatCode>
                <c:ptCount val="22"/>
                <c:pt idx="0">
                  <c:v>7.032</c:v>
                </c:pt>
                <c:pt idx="1">
                  <c:v>2.7030979999999998</c:v>
                </c:pt>
                <c:pt idx="2">
                  <c:v>4.7757949999999996</c:v>
                </c:pt>
                <c:pt idx="3">
                  <c:v>3.4629949999999998</c:v>
                </c:pt>
                <c:pt idx="4">
                  <c:v>0.41830000000000001</c:v>
                </c:pt>
                <c:pt idx="5">
                  <c:v>5.9499999999999997E-2</c:v>
                </c:pt>
                <c:pt idx="6">
                  <c:v>3.5632999999999999</c:v>
                </c:pt>
                <c:pt idx="7">
                  <c:v>0.94769999999999999</c:v>
                </c:pt>
                <c:pt idx="8">
                  <c:v>2.9821</c:v>
                </c:pt>
                <c:pt idx="9">
                  <c:v>2.9821</c:v>
                </c:pt>
                <c:pt idx="10">
                  <c:v>3.1722999999999999</c:v>
                </c:pt>
                <c:pt idx="11">
                  <c:v>0.87019999999999997</c:v>
                </c:pt>
                <c:pt idx="12">
                  <c:v>1.8228</c:v>
                </c:pt>
                <c:pt idx="13">
                  <c:v>0.3528</c:v>
                </c:pt>
                <c:pt idx="14">
                  <c:v>2.5293999999999999</c:v>
                </c:pt>
                <c:pt idx="15">
                  <c:v>1.1798999999999999</c:v>
                </c:pt>
                <c:pt idx="16">
                  <c:v>0.30180000000000001</c:v>
                </c:pt>
                <c:pt idx="17">
                  <c:v>0.39</c:v>
                </c:pt>
                <c:pt idx="18">
                  <c:v>0.27929999999999999</c:v>
                </c:pt>
                <c:pt idx="19">
                  <c:v>0.1578</c:v>
                </c:pt>
                <c:pt idx="20">
                  <c:v>0.10290000000000001</c:v>
                </c:pt>
                <c:pt idx="21">
                  <c:v>3.1242000000000001</c:v>
                </c:pt>
              </c:numCache>
            </c:numRef>
          </c:val>
          <c:smooth val="0"/>
        </c:ser>
        <c:dLbls>
          <c:showLegendKey val="0"/>
          <c:showVal val="0"/>
          <c:showCatName val="0"/>
          <c:showSerName val="0"/>
          <c:showPercent val="0"/>
          <c:showBubbleSize val="0"/>
        </c:dLbls>
        <c:marker val="1"/>
        <c:smooth val="0"/>
        <c:axId val="201709056"/>
        <c:axId val="203395072"/>
      </c:lineChart>
      <c:catAx>
        <c:axId val="201709056"/>
        <c:scaling>
          <c:orientation val="minMax"/>
        </c:scaling>
        <c:delete val="0"/>
        <c:axPos val="b"/>
        <c:title>
          <c:tx>
            <c:rich>
              <a:bodyPr/>
              <a:lstStyle/>
              <a:p>
                <a:pPr>
                  <a:defRPr/>
                </a:pPr>
                <a:r>
                  <a:rPr lang="en-GB"/>
                  <a:t>Earthquake Event</a:t>
                </a:r>
                <a:endParaRPr lang="id-ID"/>
              </a:p>
            </c:rich>
          </c:tx>
          <c:layout>
            <c:manualLayout>
              <c:xMode val="edge"/>
              <c:yMode val="edge"/>
              <c:x val="0.40898590109864585"/>
              <c:y val="0.79264037601994308"/>
            </c:manualLayout>
          </c:layout>
          <c:overlay val="0"/>
        </c:title>
        <c:majorTickMark val="none"/>
        <c:minorTickMark val="none"/>
        <c:tickLblPos val="nextTo"/>
        <c:crossAx val="203395072"/>
        <c:crosses val="autoZero"/>
        <c:auto val="1"/>
        <c:lblAlgn val="ctr"/>
        <c:lblOffset val="100"/>
        <c:noMultiLvlLbl val="0"/>
      </c:catAx>
      <c:valAx>
        <c:axId val="203395072"/>
        <c:scaling>
          <c:orientation val="minMax"/>
        </c:scaling>
        <c:delete val="0"/>
        <c:axPos val="l"/>
        <c:title>
          <c:tx>
            <c:rich>
              <a:bodyPr rot="-5400000" vert="horz"/>
              <a:lstStyle/>
              <a:p>
                <a:pPr>
                  <a:defRPr/>
                </a:pPr>
                <a:r>
                  <a:rPr lang="en-GB"/>
                  <a:t>Peak Ground Acceleration Value (gal)</a:t>
                </a:r>
                <a:endParaRPr lang="id-ID"/>
              </a:p>
            </c:rich>
          </c:tx>
          <c:layout>
            <c:manualLayout>
              <c:xMode val="edge"/>
              <c:yMode val="edge"/>
              <c:x val="6.0688702974628162E-3"/>
              <c:y val="9.4803928007608868E-2"/>
            </c:manualLayout>
          </c:layout>
          <c:overlay val="0"/>
        </c:title>
        <c:numFmt formatCode="0.00" sourceLinked="1"/>
        <c:majorTickMark val="none"/>
        <c:minorTickMark val="none"/>
        <c:tickLblPos val="nextTo"/>
        <c:crossAx val="201709056"/>
        <c:crosses val="autoZero"/>
        <c:crossBetween val="between"/>
      </c:valAx>
    </c:plotArea>
    <c:legend>
      <c:legendPos val="b"/>
      <c:layout>
        <c:manualLayout>
          <c:xMode val="edge"/>
          <c:yMode val="edge"/>
          <c:x val="0.10849670113101482"/>
          <c:y val="0.88843029774188442"/>
          <c:w val="0.78300623412606785"/>
          <c:h val="0.1115697022581154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06487070692262"/>
          <c:y val="5.8902275769745646E-2"/>
          <c:w val="0.72564784265991866"/>
          <c:h val="0.63790917777388734"/>
        </c:manualLayout>
      </c:layout>
      <c:lineChart>
        <c:grouping val="standard"/>
        <c:varyColors val="0"/>
        <c:ser>
          <c:idx val="0"/>
          <c:order val="0"/>
          <c:tx>
            <c:strRef>
              <c:f>Sheet5!$A$1</c:f>
              <c:strCache>
                <c:ptCount val="1"/>
                <c:pt idx="0">
                  <c:v>Si and Midorikawa</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val>
            <c:numRef>
              <c:f>Sheet5!$A$2:$A$23</c:f>
              <c:numCache>
                <c:formatCode>0.00</c:formatCode>
                <c:ptCount val="22"/>
                <c:pt idx="0">
                  <c:v>2.2459897069559354</c:v>
                </c:pt>
                <c:pt idx="1">
                  <c:v>1.9443253575422752</c:v>
                </c:pt>
                <c:pt idx="2">
                  <c:v>1.9973129173638748</c:v>
                </c:pt>
                <c:pt idx="3">
                  <c:v>2.0507844630499612</c:v>
                </c:pt>
                <c:pt idx="4">
                  <c:v>2.8173389966774218</c:v>
                </c:pt>
                <c:pt idx="5">
                  <c:v>1.7837430532297442</c:v>
                </c:pt>
                <c:pt idx="6">
                  <c:v>2.1167249195229898</c:v>
                </c:pt>
                <c:pt idx="7">
                  <c:v>1.6256730920183646</c:v>
                </c:pt>
                <c:pt idx="8">
                  <c:v>2.0498548558948269</c:v>
                </c:pt>
                <c:pt idx="9">
                  <c:v>2.0792681429954278</c:v>
                </c:pt>
                <c:pt idx="10">
                  <c:v>2.0526195095717803</c:v>
                </c:pt>
                <c:pt idx="11">
                  <c:v>1.8255933627600245</c:v>
                </c:pt>
                <c:pt idx="12">
                  <c:v>2.2543111817938577</c:v>
                </c:pt>
                <c:pt idx="13">
                  <c:v>1.8131514811346114</c:v>
                </c:pt>
                <c:pt idx="14">
                  <c:v>1.9789799867808997</c:v>
                </c:pt>
                <c:pt idx="15">
                  <c:v>1.7387716933937474</c:v>
                </c:pt>
                <c:pt idx="16">
                  <c:v>1.5456126587662109</c:v>
                </c:pt>
                <c:pt idx="17">
                  <c:v>1.5009489923969008</c:v>
                </c:pt>
                <c:pt idx="18">
                  <c:v>1.4161493196235848</c:v>
                </c:pt>
                <c:pt idx="19">
                  <c:v>1.3041906977304463</c:v>
                </c:pt>
                <c:pt idx="20">
                  <c:v>1.2995964781926337</c:v>
                </c:pt>
                <c:pt idx="21">
                  <c:v>1.9725170907048761</c:v>
                </c:pt>
              </c:numCache>
            </c:numRef>
          </c:val>
          <c:smooth val="0"/>
        </c:ser>
        <c:ser>
          <c:idx val="1"/>
          <c:order val="1"/>
          <c:tx>
            <c:strRef>
              <c:f>Sheet5!$B$1</c:f>
              <c:strCache>
                <c:ptCount val="1"/>
                <c:pt idx="0">
                  <c:v>Akselerograf</c:v>
                </c:pt>
              </c:strCache>
            </c:strRef>
          </c:tx>
          <c:spPr>
            <a:ln>
              <a:solidFill>
                <a:schemeClr val="accent5"/>
              </a:solidFill>
            </a:ln>
          </c:spPr>
          <c:marker>
            <c:spPr>
              <a:solidFill>
                <a:schemeClr val="accent5"/>
              </a:solidFill>
              <a:ln>
                <a:solidFill>
                  <a:schemeClr val="accent5"/>
                </a:solidFill>
              </a:ln>
            </c:spPr>
          </c:marker>
          <c:val>
            <c:numRef>
              <c:f>Sheet5!$B$2:$B$23</c:f>
              <c:numCache>
                <c:formatCode>0.00</c:formatCode>
                <c:ptCount val="22"/>
                <c:pt idx="0">
                  <c:v>7.032</c:v>
                </c:pt>
                <c:pt idx="1">
                  <c:v>2.7030979999999998</c:v>
                </c:pt>
                <c:pt idx="2">
                  <c:v>4.7757949999999996</c:v>
                </c:pt>
                <c:pt idx="3">
                  <c:v>3.4629949999999998</c:v>
                </c:pt>
                <c:pt idx="4">
                  <c:v>0.41830000000000001</c:v>
                </c:pt>
                <c:pt idx="5">
                  <c:v>5.9499999999999997E-2</c:v>
                </c:pt>
                <c:pt idx="6">
                  <c:v>3.5632999999999999</c:v>
                </c:pt>
                <c:pt idx="7">
                  <c:v>0.94769999999999999</c:v>
                </c:pt>
                <c:pt idx="8">
                  <c:v>2.9821</c:v>
                </c:pt>
                <c:pt idx="9">
                  <c:v>2.9821</c:v>
                </c:pt>
                <c:pt idx="10">
                  <c:v>3.1722999999999999</c:v>
                </c:pt>
                <c:pt idx="11">
                  <c:v>0.87019999999999997</c:v>
                </c:pt>
                <c:pt idx="12">
                  <c:v>1.8228</c:v>
                </c:pt>
                <c:pt idx="13">
                  <c:v>0.3528</c:v>
                </c:pt>
                <c:pt idx="14">
                  <c:v>2.5293999999999999</c:v>
                </c:pt>
                <c:pt idx="15">
                  <c:v>1.1798999999999999</c:v>
                </c:pt>
                <c:pt idx="16">
                  <c:v>0.30180000000000001</c:v>
                </c:pt>
                <c:pt idx="17">
                  <c:v>0.39</c:v>
                </c:pt>
                <c:pt idx="18">
                  <c:v>0.27929999999999999</c:v>
                </c:pt>
                <c:pt idx="19">
                  <c:v>0.1578</c:v>
                </c:pt>
                <c:pt idx="20">
                  <c:v>0.10290000000000001</c:v>
                </c:pt>
                <c:pt idx="21">
                  <c:v>3.1242000000000001</c:v>
                </c:pt>
              </c:numCache>
            </c:numRef>
          </c:val>
          <c:smooth val="0"/>
        </c:ser>
        <c:dLbls>
          <c:showLegendKey val="0"/>
          <c:showVal val="0"/>
          <c:showCatName val="0"/>
          <c:showSerName val="0"/>
          <c:showPercent val="0"/>
          <c:showBubbleSize val="0"/>
        </c:dLbls>
        <c:marker val="1"/>
        <c:smooth val="0"/>
        <c:axId val="201359744"/>
        <c:axId val="203449472"/>
      </c:lineChart>
      <c:catAx>
        <c:axId val="201359744"/>
        <c:scaling>
          <c:orientation val="minMax"/>
        </c:scaling>
        <c:delete val="0"/>
        <c:axPos val="b"/>
        <c:title>
          <c:tx>
            <c:rich>
              <a:bodyPr/>
              <a:lstStyle/>
              <a:p>
                <a:pPr>
                  <a:defRPr>
                    <a:latin typeface="Times New Roman" pitchFamily="18" charset="0"/>
                    <a:cs typeface="Times New Roman" pitchFamily="18" charset="0"/>
                  </a:defRPr>
                </a:pPr>
                <a:r>
                  <a:rPr lang="en-GB">
                    <a:latin typeface="Times New Roman" pitchFamily="18" charset="0"/>
                    <a:cs typeface="Times New Roman" pitchFamily="18" charset="0"/>
                  </a:rPr>
                  <a:t>Earthquake Event</a:t>
                </a:r>
                <a:endParaRPr lang="id-ID">
                  <a:latin typeface="Times New Roman" pitchFamily="18" charset="0"/>
                  <a:cs typeface="Times New Roman" pitchFamily="18" charset="0"/>
                </a:endParaRPr>
              </a:p>
            </c:rich>
          </c:tx>
          <c:layout>
            <c:manualLayout>
              <c:xMode val="edge"/>
              <c:yMode val="edge"/>
              <c:x val="0.38813695393903652"/>
              <c:y val="0.7853969503401026"/>
            </c:manualLayout>
          </c:layout>
          <c:overlay val="0"/>
        </c:title>
        <c:majorTickMark val="none"/>
        <c:minorTickMark val="none"/>
        <c:tickLblPos val="nextTo"/>
        <c:txPr>
          <a:bodyPr/>
          <a:lstStyle/>
          <a:p>
            <a:pPr>
              <a:defRPr>
                <a:latin typeface="Times New Roman" pitchFamily="18" charset="0"/>
                <a:cs typeface="Times New Roman" pitchFamily="18" charset="0"/>
              </a:defRPr>
            </a:pPr>
            <a:endParaRPr lang="id-ID"/>
          </a:p>
        </c:txPr>
        <c:crossAx val="203449472"/>
        <c:crosses val="autoZero"/>
        <c:auto val="1"/>
        <c:lblAlgn val="ctr"/>
        <c:lblOffset val="100"/>
        <c:noMultiLvlLbl val="0"/>
      </c:catAx>
      <c:valAx>
        <c:axId val="203449472"/>
        <c:scaling>
          <c:orientation val="minMax"/>
        </c:scaling>
        <c:delete val="0"/>
        <c:axPos val="l"/>
        <c:title>
          <c:tx>
            <c:rich>
              <a:bodyPr rot="-5400000" vert="horz"/>
              <a:lstStyle/>
              <a:p>
                <a:pPr>
                  <a:defRPr>
                    <a:latin typeface="Times New Roman" pitchFamily="18" charset="0"/>
                    <a:cs typeface="Times New Roman" pitchFamily="18" charset="0"/>
                  </a:defRPr>
                </a:pPr>
                <a:r>
                  <a:rPr lang="en-GB" baseline="0">
                    <a:latin typeface="Times New Roman" pitchFamily="18" charset="0"/>
                    <a:cs typeface="Times New Roman" pitchFamily="18" charset="0"/>
                  </a:rPr>
                  <a:t>Peak Ground Acceleration Value (gal)</a:t>
                </a:r>
                <a:endParaRPr lang="id-ID">
                  <a:latin typeface="Times New Roman" pitchFamily="18" charset="0"/>
                  <a:cs typeface="Times New Roman" pitchFamily="18" charset="0"/>
                </a:endParaRP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201359744"/>
        <c:crosses val="autoZero"/>
        <c:crossBetween val="between"/>
      </c:valAx>
    </c:plotArea>
    <c:legend>
      <c:legendPos val="b"/>
      <c:layout>
        <c:manualLayout>
          <c:xMode val="edge"/>
          <c:yMode val="edge"/>
          <c:x val="5.0000085225481057E-2"/>
          <c:y val="0.88202492445760938"/>
          <c:w val="0.8999998295490379"/>
          <c:h val="0.11155941887300883"/>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54382017582821"/>
          <c:y val="5.7068741893644616E-2"/>
          <c:w val="0.71505083262041658"/>
          <c:h val="0.63328533349673699"/>
        </c:manualLayout>
      </c:layout>
      <c:lineChart>
        <c:grouping val="standard"/>
        <c:varyColors val="0"/>
        <c:ser>
          <c:idx val="0"/>
          <c:order val="0"/>
          <c:tx>
            <c:strRef>
              <c:f>Sheet6!$A$1</c:f>
              <c:strCache>
                <c:ptCount val="1"/>
                <c:pt idx="0">
                  <c:v>Fukushima-Tanaka</c:v>
                </c:pt>
              </c:strCache>
            </c:strRef>
          </c:tx>
          <c:spPr>
            <a:ln>
              <a:solidFill>
                <a:srgbClr val="FF0000"/>
              </a:solidFill>
            </a:ln>
          </c:spPr>
          <c:marker>
            <c:spPr>
              <a:solidFill>
                <a:srgbClr val="FF0000"/>
              </a:solidFill>
              <a:ln>
                <a:solidFill>
                  <a:srgbClr val="FF0000"/>
                </a:solidFill>
              </a:ln>
            </c:spPr>
          </c:marker>
          <c:val>
            <c:numRef>
              <c:f>Sheet6!$A$2:$A$23</c:f>
              <c:numCache>
                <c:formatCode>0.00</c:formatCode>
                <c:ptCount val="22"/>
                <c:pt idx="0">
                  <c:v>7.0474870889435826</c:v>
                </c:pt>
                <c:pt idx="1">
                  <c:v>2.0099999999999998</c:v>
                </c:pt>
                <c:pt idx="2">
                  <c:v>5.1410899139126753</c:v>
                </c:pt>
                <c:pt idx="3">
                  <c:v>2.06</c:v>
                </c:pt>
                <c:pt idx="4">
                  <c:v>3.3028300000000002</c:v>
                </c:pt>
                <c:pt idx="5">
                  <c:v>0.49</c:v>
                </c:pt>
                <c:pt idx="6">
                  <c:v>2.42</c:v>
                </c:pt>
                <c:pt idx="7">
                  <c:v>0.3</c:v>
                </c:pt>
                <c:pt idx="8">
                  <c:v>1.96</c:v>
                </c:pt>
                <c:pt idx="9">
                  <c:v>2.25</c:v>
                </c:pt>
                <c:pt idx="10">
                  <c:v>1.31</c:v>
                </c:pt>
                <c:pt idx="11">
                  <c:v>3.0405596888970146</c:v>
                </c:pt>
                <c:pt idx="12">
                  <c:v>2.84</c:v>
                </c:pt>
                <c:pt idx="13">
                  <c:v>0.47</c:v>
                </c:pt>
                <c:pt idx="14">
                  <c:v>4.29</c:v>
                </c:pt>
                <c:pt idx="15">
                  <c:v>1.89922431347333</c:v>
                </c:pt>
                <c:pt idx="16">
                  <c:v>0.88</c:v>
                </c:pt>
                <c:pt idx="17">
                  <c:v>0.23</c:v>
                </c:pt>
                <c:pt idx="18">
                  <c:v>0.18</c:v>
                </c:pt>
                <c:pt idx="19">
                  <c:v>0.15</c:v>
                </c:pt>
                <c:pt idx="20">
                  <c:v>0.14000000000000001</c:v>
                </c:pt>
                <c:pt idx="21">
                  <c:v>4.2770611142135122</c:v>
                </c:pt>
              </c:numCache>
            </c:numRef>
          </c:val>
          <c:smooth val="0"/>
        </c:ser>
        <c:ser>
          <c:idx val="1"/>
          <c:order val="1"/>
          <c:tx>
            <c:strRef>
              <c:f>Sheet6!$B$1</c:f>
              <c:strCache>
                <c:ptCount val="1"/>
                <c:pt idx="0">
                  <c:v>Akselerograf</c:v>
                </c:pt>
              </c:strCache>
            </c:strRef>
          </c:tx>
          <c:spPr>
            <a:ln>
              <a:solidFill>
                <a:schemeClr val="accent5"/>
              </a:solidFill>
            </a:ln>
          </c:spPr>
          <c:marker>
            <c:spPr>
              <a:solidFill>
                <a:schemeClr val="accent5"/>
              </a:solidFill>
              <a:ln>
                <a:solidFill>
                  <a:schemeClr val="accent5"/>
                </a:solidFill>
              </a:ln>
            </c:spPr>
          </c:marker>
          <c:val>
            <c:numRef>
              <c:f>Sheet6!$B$2:$B$23</c:f>
              <c:numCache>
                <c:formatCode>0.00</c:formatCode>
                <c:ptCount val="22"/>
                <c:pt idx="0">
                  <c:v>7.032</c:v>
                </c:pt>
                <c:pt idx="1">
                  <c:v>2.7030979999999998</c:v>
                </c:pt>
                <c:pt idx="2">
                  <c:v>4.7757949999999996</c:v>
                </c:pt>
                <c:pt idx="3">
                  <c:v>3.4629949999999998</c:v>
                </c:pt>
                <c:pt idx="4">
                  <c:v>0.41830000000000001</c:v>
                </c:pt>
                <c:pt idx="5">
                  <c:v>5.9499999999999997E-2</c:v>
                </c:pt>
                <c:pt idx="6">
                  <c:v>3.5632999999999999</c:v>
                </c:pt>
                <c:pt idx="7">
                  <c:v>0.94769999999999999</c:v>
                </c:pt>
                <c:pt idx="8">
                  <c:v>2.9821</c:v>
                </c:pt>
                <c:pt idx="9">
                  <c:v>2.9821</c:v>
                </c:pt>
                <c:pt idx="10">
                  <c:v>3.1722999999999999</c:v>
                </c:pt>
                <c:pt idx="11">
                  <c:v>0.87019999999999997</c:v>
                </c:pt>
                <c:pt idx="12">
                  <c:v>1.8228</c:v>
                </c:pt>
                <c:pt idx="13">
                  <c:v>0.3528</c:v>
                </c:pt>
                <c:pt idx="14">
                  <c:v>2.5293999999999999</c:v>
                </c:pt>
                <c:pt idx="15">
                  <c:v>1.1798999999999999</c:v>
                </c:pt>
                <c:pt idx="16">
                  <c:v>0.30180000000000001</c:v>
                </c:pt>
                <c:pt idx="17">
                  <c:v>0.39</c:v>
                </c:pt>
                <c:pt idx="18">
                  <c:v>0.27929999999999999</c:v>
                </c:pt>
                <c:pt idx="19">
                  <c:v>0.1578</c:v>
                </c:pt>
                <c:pt idx="20">
                  <c:v>0.10290000000000001</c:v>
                </c:pt>
                <c:pt idx="21">
                  <c:v>3.1242000000000001</c:v>
                </c:pt>
              </c:numCache>
            </c:numRef>
          </c:val>
          <c:smooth val="0"/>
        </c:ser>
        <c:dLbls>
          <c:showLegendKey val="0"/>
          <c:showVal val="0"/>
          <c:showCatName val="0"/>
          <c:showSerName val="0"/>
          <c:showPercent val="0"/>
          <c:showBubbleSize val="0"/>
        </c:dLbls>
        <c:marker val="1"/>
        <c:smooth val="0"/>
        <c:axId val="201381760"/>
        <c:axId val="201408896"/>
      </c:lineChart>
      <c:catAx>
        <c:axId val="201381760"/>
        <c:scaling>
          <c:orientation val="minMax"/>
        </c:scaling>
        <c:delete val="0"/>
        <c:axPos val="b"/>
        <c:title>
          <c:tx>
            <c:rich>
              <a:bodyPr/>
              <a:lstStyle/>
              <a:p>
                <a:pPr>
                  <a:defRPr>
                    <a:latin typeface="Times New Roman" pitchFamily="18" charset="0"/>
                    <a:cs typeface="Times New Roman" pitchFamily="18" charset="0"/>
                  </a:defRPr>
                </a:pPr>
                <a:r>
                  <a:rPr lang="en-GB">
                    <a:latin typeface="Times New Roman" pitchFamily="18" charset="0"/>
                    <a:cs typeface="Times New Roman" pitchFamily="18" charset="0"/>
                  </a:rPr>
                  <a:t>Earthquake Event</a:t>
                </a:r>
                <a:endParaRPr lang="id-ID">
                  <a:latin typeface="Times New Roman" pitchFamily="18" charset="0"/>
                  <a:cs typeface="Times New Roman" pitchFamily="18" charset="0"/>
                </a:endParaRPr>
              </a:p>
            </c:rich>
          </c:tx>
          <c:layout>
            <c:manualLayout>
              <c:xMode val="edge"/>
              <c:yMode val="edge"/>
              <c:x val="0.36784943097862249"/>
              <c:y val="0.79159961464147122"/>
            </c:manualLayout>
          </c:layout>
          <c:overlay val="0"/>
        </c:title>
        <c:majorTickMark val="none"/>
        <c:minorTickMark val="none"/>
        <c:tickLblPos val="nextTo"/>
        <c:txPr>
          <a:bodyPr/>
          <a:lstStyle/>
          <a:p>
            <a:pPr>
              <a:defRPr>
                <a:latin typeface="Times New Roman" pitchFamily="18" charset="0"/>
                <a:cs typeface="Times New Roman" pitchFamily="18" charset="0"/>
              </a:defRPr>
            </a:pPr>
            <a:endParaRPr lang="id-ID"/>
          </a:p>
        </c:txPr>
        <c:crossAx val="201408896"/>
        <c:crosses val="autoZero"/>
        <c:auto val="1"/>
        <c:lblAlgn val="ctr"/>
        <c:lblOffset val="100"/>
        <c:noMultiLvlLbl val="0"/>
      </c:catAx>
      <c:valAx>
        <c:axId val="201408896"/>
        <c:scaling>
          <c:orientation val="minMax"/>
        </c:scaling>
        <c:delete val="0"/>
        <c:axPos val="l"/>
        <c:title>
          <c:tx>
            <c:rich>
              <a:bodyPr rot="-5400000" vert="horz"/>
              <a:lstStyle/>
              <a:p>
                <a:pPr>
                  <a:defRPr>
                    <a:latin typeface="Times New Roman" pitchFamily="18" charset="0"/>
                    <a:cs typeface="Times New Roman" pitchFamily="18" charset="0"/>
                  </a:defRPr>
                </a:pPr>
                <a:r>
                  <a:rPr lang="en-GB" baseline="0">
                    <a:latin typeface="Times New Roman" pitchFamily="18" charset="0"/>
                    <a:cs typeface="Times New Roman" pitchFamily="18" charset="0"/>
                  </a:rPr>
                  <a:t>Peak Ground Acceleration Value (gal)</a:t>
                </a:r>
                <a:endParaRPr lang="id-ID">
                  <a:latin typeface="Times New Roman" pitchFamily="18" charset="0"/>
                  <a:cs typeface="Times New Roman" pitchFamily="18" charset="0"/>
                </a:endParaRP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201381760"/>
        <c:crosses val="autoZero"/>
        <c:crossBetween val="between"/>
      </c:valAx>
    </c:plotArea>
    <c:legend>
      <c:legendPos val="b"/>
      <c:layout>
        <c:manualLayout>
          <c:xMode val="edge"/>
          <c:yMode val="edge"/>
          <c:x val="4.9999818698034326E-2"/>
          <c:y val="0.8840485250348491"/>
          <c:w val="0.9"/>
          <c:h val="0.11595158391009978"/>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451105449388841"/>
          <c:y val="5.5766793409378963E-2"/>
          <c:w val="0.69347338549879545"/>
          <c:h val="0.64672115605321201"/>
        </c:manualLayout>
      </c:layout>
      <c:lineChart>
        <c:grouping val="standard"/>
        <c:varyColors val="0"/>
        <c:ser>
          <c:idx val="0"/>
          <c:order val="0"/>
          <c:tx>
            <c:strRef>
              <c:f>Sheet7!$A$1</c:f>
              <c:strCache>
                <c:ptCount val="1"/>
                <c:pt idx="0">
                  <c:v>Donovan</c:v>
                </c:pt>
              </c:strCache>
            </c:strRef>
          </c:tx>
          <c:spPr>
            <a:ln>
              <a:solidFill>
                <a:schemeClr val="accent4"/>
              </a:solidFill>
            </a:ln>
          </c:spPr>
          <c:marker>
            <c:spPr>
              <a:solidFill>
                <a:schemeClr val="accent4"/>
              </a:solidFill>
              <a:ln>
                <a:solidFill>
                  <a:schemeClr val="accent4"/>
                </a:solidFill>
              </a:ln>
            </c:spPr>
          </c:marker>
          <c:val>
            <c:numRef>
              <c:f>Sheet7!$A$2:$A$23</c:f>
              <c:numCache>
                <c:formatCode>0.00</c:formatCode>
                <c:ptCount val="22"/>
                <c:pt idx="0">
                  <c:v>19.152126086939369</c:v>
                </c:pt>
                <c:pt idx="1">
                  <c:v>14.08166554444071</c:v>
                </c:pt>
                <c:pt idx="2">
                  <c:v>16.002453177551018</c:v>
                </c:pt>
                <c:pt idx="3">
                  <c:v>16.741309522244109</c:v>
                </c:pt>
                <c:pt idx="4">
                  <c:v>13.05</c:v>
                </c:pt>
                <c:pt idx="5">
                  <c:v>12.415812520487563</c:v>
                </c:pt>
                <c:pt idx="6">
                  <c:v>16.669857922533367</c:v>
                </c:pt>
                <c:pt idx="7">
                  <c:v>10.626704776251094</c:v>
                </c:pt>
                <c:pt idx="8">
                  <c:v>14.921389914162626</c:v>
                </c:pt>
                <c:pt idx="9">
                  <c:v>16.589517656757227</c:v>
                </c:pt>
                <c:pt idx="10">
                  <c:v>18.000260724583992</c:v>
                </c:pt>
                <c:pt idx="11">
                  <c:v>12.109166960597474</c:v>
                </c:pt>
                <c:pt idx="12">
                  <c:v>19.494259362357909</c:v>
                </c:pt>
                <c:pt idx="13">
                  <c:v>12.373216003916651</c:v>
                </c:pt>
                <c:pt idx="14">
                  <c:v>14.764928323241001</c:v>
                </c:pt>
                <c:pt idx="15">
                  <c:v>12.589201703311405</c:v>
                </c:pt>
                <c:pt idx="16">
                  <c:v>9.7162303175329932</c:v>
                </c:pt>
                <c:pt idx="17">
                  <c:v>9.4410727041855598</c:v>
                </c:pt>
                <c:pt idx="18">
                  <c:v>8.3744242447030768</c:v>
                </c:pt>
                <c:pt idx="19">
                  <c:v>7.6784315301546719</c:v>
                </c:pt>
                <c:pt idx="20">
                  <c:v>7.4783123360968098</c:v>
                </c:pt>
                <c:pt idx="21">
                  <c:v>15.057667088593981</c:v>
                </c:pt>
              </c:numCache>
            </c:numRef>
          </c:val>
          <c:smooth val="0"/>
        </c:ser>
        <c:ser>
          <c:idx val="1"/>
          <c:order val="1"/>
          <c:tx>
            <c:strRef>
              <c:f>Sheet7!$B$1</c:f>
              <c:strCache>
                <c:ptCount val="1"/>
                <c:pt idx="0">
                  <c:v>Akselerograf</c:v>
                </c:pt>
              </c:strCache>
            </c:strRef>
          </c:tx>
          <c:spPr>
            <a:ln>
              <a:solidFill>
                <a:schemeClr val="accent5"/>
              </a:solidFill>
            </a:ln>
          </c:spPr>
          <c:marker>
            <c:spPr>
              <a:solidFill>
                <a:schemeClr val="accent5"/>
              </a:solidFill>
              <a:ln>
                <a:solidFill>
                  <a:schemeClr val="accent5"/>
                </a:solidFill>
              </a:ln>
            </c:spPr>
          </c:marker>
          <c:val>
            <c:numRef>
              <c:f>Sheet7!$B$2:$B$23</c:f>
              <c:numCache>
                <c:formatCode>0.00</c:formatCode>
                <c:ptCount val="22"/>
                <c:pt idx="0">
                  <c:v>7.032</c:v>
                </c:pt>
                <c:pt idx="1">
                  <c:v>2.7030979999999998</c:v>
                </c:pt>
                <c:pt idx="2">
                  <c:v>4.7757949999999996</c:v>
                </c:pt>
                <c:pt idx="3">
                  <c:v>3.4629949999999998</c:v>
                </c:pt>
                <c:pt idx="4">
                  <c:v>0.41830000000000001</c:v>
                </c:pt>
                <c:pt idx="5">
                  <c:v>5.9499999999999997E-2</c:v>
                </c:pt>
                <c:pt idx="6">
                  <c:v>3.5632999999999999</c:v>
                </c:pt>
                <c:pt idx="7">
                  <c:v>0.94769999999999999</c:v>
                </c:pt>
                <c:pt idx="8">
                  <c:v>2.9821</c:v>
                </c:pt>
                <c:pt idx="9">
                  <c:v>2.9821</c:v>
                </c:pt>
                <c:pt idx="10">
                  <c:v>3.1722999999999999</c:v>
                </c:pt>
                <c:pt idx="11">
                  <c:v>0.87019999999999997</c:v>
                </c:pt>
                <c:pt idx="12">
                  <c:v>1.8228</c:v>
                </c:pt>
                <c:pt idx="13">
                  <c:v>0.3528</c:v>
                </c:pt>
                <c:pt idx="14">
                  <c:v>2.5293999999999999</c:v>
                </c:pt>
                <c:pt idx="15">
                  <c:v>1.1798999999999999</c:v>
                </c:pt>
                <c:pt idx="16">
                  <c:v>0.30180000000000001</c:v>
                </c:pt>
                <c:pt idx="17">
                  <c:v>0.39</c:v>
                </c:pt>
                <c:pt idx="18">
                  <c:v>0.27929999999999999</c:v>
                </c:pt>
                <c:pt idx="19">
                  <c:v>0.1578</c:v>
                </c:pt>
                <c:pt idx="20">
                  <c:v>0.10290000000000001</c:v>
                </c:pt>
                <c:pt idx="21">
                  <c:v>3.1242000000000001</c:v>
                </c:pt>
              </c:numCache>
            </c:numRef>
          </c:val>
          <c:smooth val="0"/>
        </c:ser>
        <c:dLbls>
          <c:showLegendKey val="0"/>
          <c:showVal val="0"/>
          <c:showCatName val="0"/>
          <c:showSerName val="0"/>
          <c:showPercent val="0"/>
          <c:showBubbleSize val="0"/>
        </c:dLbls>
        <c:marker val="1"/>
        <c:smooth val="0"/>
        <c:axId val="201683712"/>
        <c:axId val="201686016"/>
      </c:lineChart>
      <c:catAx>
        <c:axId val="201683712"/>
        <c:scaling>
          <c:orientation val="minMax"/>
        </c:scaling>
        <c:delete val="0"/>
        <c:axPos val="b"/>
        <c:title>
          <c:tx>
            <c:rich>
              <a:bodyPr/>
              <a:lstStyle/>
              <a:p>
                <a:pPr>
                  <a:defRPr>
                    <a:latin typeface="Times New Roman" pitchFamily="18" charset="0"/>
                    <a:cs typeface="Times New Roman" pitchFamily="18" charset="0"/>
                  </a:defRPr>
                </a:pPr>
                <a:r>
                  <a:rPr lang="en-GB">
                    <a:latin typeface="Times New Roman" pitchFamily="18" charset="0"/>
                    <a:cs typeface="Times New Roman" pitchFamily="18" charset="0"/>
                  </a:rPr>
                  <a:t>Earthquake</a:t>
                </a:r>
                <a:r>
                  <a:rPr lang="en-GB" baseline="0">
                    <a:latin typeface="Times New Roman" pitchFamily="18" charset="0"/>
                    <a:cs typeface="Times New Roman" pitchFamily="18" charset="0"/>
                  </a:rPr>
                  <a:t> Event</a:t>
                </a:r>
                <a:endParaRPr lang="id-ID">
                  <a:latin typeface="Times New Roman" pitchFamily="18" charset="0"/>
                  <a:cs typeface="Times New Roman" pitchFamily="18" charset="0"/>
                </a:endParaRPr>
              </a:p>
            </c:rich>
          </c:tx>
          <c:layout>
            <c:manualLayout>
              <c:xMode val="edge"/>
              <c:yMode val="edge"/>
              <c:x val="0.38732507356620111"/>
              <c:y val="0.80144509448280687"/>
            </c:manualLayout>
          </c:layout>
          <c:overlay val="0"/>
        </c:title>
        <c:majorTickMark val="none"/>
        <c:minorTickMark val="none"/>
        <c:tickLblPos val="nextTo"/>
        <c:txPr>
          <a:bodyPr/>
          <a:lstStyle/>
          <a:p>
            <a:pPr>
              <a:defRPr>
                <a:latin typeface="Times New Roman" pitchFamily="18" charset="0"/>
                <a:cs typeface="Times New Roman" pitchFamily="18" charset="0"/>
              </a:defRPr>
            </a:pPr>
            <a:endParaRPr lang="id-ID"/>
          </a:p>
        </c:txPr>
        <c:crossAx val="201686016"/>
        <c:crosses val="autoZero"/>
        <c:auto val="1"/>
        <c:lblAlgn val="ctr"/>
        <c:lblOffset val="100"/>
        <c:noMultiLvlLbl val="0"/>
      </c:catAx>
      <c:valAx>
        <c:axId val="201686016"/>
        <c:scaling>
          <c:orientation val="minMax"/>
        </c:scaling>
        <c:delete val="0"/>
        <c:axPos val="l"/>
        <c:title>
          <c:tx>
            <c:rich>
              <a:bodyPr rot="-5400000" vert="horz"/>
              <a:lstStyle/>
              <a:p>
                <a:pPr>
                  <a:defRPr>
                    <a:latin typeface="Times New Roman" pitchFamily="18" charset="0"/>
                    <a:cs typeface="Times New Roman" pitchFamily="18" charset="0"/>
                  </a:defRPr>
                </a:pPr>
                <a:r>
                  <a:rPr lang="en-GB">
                    <a:latin typeface="Times New Roman" pitchFamily="18" charset="0"/>
                    <a:cs typeface="Times New Roman" pitchFamily="18" charset="0"/>
                  </a:rPr>
                  <a:t>Peak</a:t>
                </a:r>
                <a:r>
                  <a:rPr lang="en-GB" baseline="0">
                    <a:latin typeface="Times New Roman" pitchFamily="18" charset="0"/>
                    <a:cs typeface="Times New Roman" pitchFamily="18" charset="0"/>
                  </a:rPr>
                  <a:t> Ground Acceleration Value</a:t>
                </a:r>
                <a:r>
                  <a:rPr lang="en-GB">
                    <a:latin typeface="Times New Roman" pitchFamily="18" charset="0"/>
                    <a:cs typeface="Times New Roman" pitchFamily="18" charset="0"/>
                  </a:rPr>
                  <a:t> (gal)</a:t>
                </a:r>
                <a:endParaRPr lang="id-ID">
                  <a:latin typeface="Times New Roman" pitchFamily="18" charset="0"/>
                  <a:cs typeface="Times New Roman" pitchFamily="18" charset="0"/>
                </a:endParaRPr>
              </a:p>
            </c:rich>
          </c:tx>
          <c:overlay val="0"/>
        </c:title>
        <c:numFmt formatCode="0.00"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201683712"/>
        <c:crosses val="autoZero"/>
        <c:crossBetween val="between"/>
      </c:valAx>
    </c:plotArea>
    <c:legend>
      <c:legendPos val="b"/>
      <c:layout>
        <c:manualLayout>
          <c:xMode val="edge"/>
          <c:yMode val="edge"/>
          <c:x val="0.14620429016816675"/>
          <c:y val="0.88404529577343505"/>
          <c:w val="0.70759141966366657"/>
          <c:h val="0.11595470422656498"/>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B74E6FD38142A2A4696B1C4388EF24"/>
        <w:category>
          <w:name w:val="General"/>
          <w:gallery w:val="placeholder"/>
        </w:category>
        <w:types>
          <w:type w:val="bbPlcHdr"/>
        </w:types>
        <w:behaviors>
          <w:behavior w:val="content"/>
        </w:behaviors>
        <w:guid w:val="{3C69E15C-8174-4BB5-9A69-33814468CE60}"/>
      </w:docPartPr>
      <w:docPartBody>
        <w:p w:rsidR="00AA0D9F" w:rsidRDefault="00AA0D9F">
          <w:pPr>
            <w:pStyle w:val="1FB74E6FD38142A2A4696B1C4388EF24"/>
          </w:pPr>
          <w:r>
            <w:rPr>
              <w:rStyle w:val="Heading1Char"/>
            </w:rPr>
            <w:t xml:space="preserve">JUDUL ARTIKEL FISIKA/PENDIDIKAN FISIKA JUDUL ARTIKEL FISIKA/PENDIDIKAN FISIKA JUDUL ARTIKEL FISIKA/PENDIDIKAN FISIKA JUDUL ARTIKEL FISIKA/PENDIDIKAN FISIKA </w:t>
          </w:r>
        </w:p>
      </w:docPartBody>
    </w:docPart>
    <w:docPart>
      <w:docPartPr>
        <w:name w:val="82E997A4F31E41B2B98A351F30460FCF"/>
        <w:category>
          <w:name w:val="General"/>
          <w:gallery w:val="placeholder"/>
        </w:category>
        <w:types>
          <w:type w:val="bbPlcHdr"/>
        </w:types>
        <w:behaviors>
          <w:behavior w:val="content"/>
        </w:behaviors>
        <w:guid w:val="{50792252-9257-412A-A362-D3C9D6569AE9}"/>
      </w:docPartPr>
      <w:docPartBody>
        <w:p w:rsidR="00AA0D9F" w:rsidRDefault="00AA0D9F">
          <w:pPr>
            <w:pStyle w:val="82E997A4F31E41B2B98A351F30460FCF"/>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AF0A383CCDB546448C7A36101409023D"/>
        <w:category>
          <w:name w:val="General"/>
          <w:gallery w:val="placeholder"/>
        </w:category>
        <w:types>
          <w:type w:val="bbPlcHdr"/>
        </w:types>
        <w:behaviors>
          <w:behavior w:val="content"/>
        </w:behaviors>
        <w:guid w:val="{2CCB310A-D4FE-4FEC-BE22-8E38EF540CCF}"/>
      </w:docPartPr>
      <w:docPartBody>
        <w:p w:rsidR="00AA0D9F" w:rsidRDefault="00AA0D9F">
          <w:pPr>
            <w:pStyle w:val="AF0A383CCDB546448C7A36101409023D"/>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FF44653BF0934E90A59360328AAFAD50"/>
        <w:category>
          <w:name w:val="General"/>
          <w:gallery w:val="placeholder"/>
        </w:category>
        <w:types>
          <w:type w:val="bbPlcHdr"/>
        </w:types>
        <w:behaviors>
          <w:behavior w:val="content"/>
        </w:behaviors>
        <w:guid w:val="{DBEA74AF-A44B-4866-B1F2-220C31A8FCC5}"/>
      </w:docPartPr>
      <w:docPartBody>
        <w:p w:rsidR="00AA0D9F" w:rsidRDefault="00AA0D9F">
          <w:pPr>
            <w:pStyle w:val="FF44653BF0934E90A59360328AAFAD50"/>
          </w:pPr>
          <w:r>
            <w:rPr>
              <w:rStyle w:val="PlaceholderText"/>
              <w:i/>
              <w:iCs/>
              <w:sz w:val="20"/>
              <w:szCs w:val="20"/>
            </w:rPr>
            <w:t>Afiliasi Penulis Ketiga (Jika berbeda dengan afiliasi Penulis Pertama dan/atau Kedua)</w:t>
          </w:r>
        </w:p>
      </w:docPartBody>
    </w:docPart>
    <w:docPart>
      <w:docPartPr>
        <w:name w:val="743E3290A115473AA83D262F6086E6A7"/>
        <w:category>
          <w:name w:val="General"/>
          <w:gallery w:val="placeholder"/>
        </w:category>
        <w:types>
          <w:type w:val="bbPlcHdr"/>
        </w:types>
        <w:behaviors>
          <w:behavior w:val="content"/>
        </w:behaviors>
        <w:guid w:val="{D5598C12-1C9C-4091-A80D-699271944723}"/>
      </w:docPartPr>
      <w:docPartBody>
        <w:p w:rsidR="00AA0D9F" w:rsidRDefault="00AA0D9F">
          <w:pPr>
            <w:pStyle w:val="743E3290A115473AA83D262F6086E6A7"/>
          </w:pPr>
          <w:r>
            <w:rPr>
              <w:rStyle w:val="PlaceholderText"/>
            </w:rPr>
            <w:t>Click here to enter text.</w:t>
          </w:r>
        </w:p>
      </w:docPartBody>
    </w:docPart>
    <w:docPart>
      <w:docPartPr>
        <w:name w:val="7C573EFC9622459F8DCFBA9072671252"/>
        <w:category>
          <w:name w:val="General"/>
          <w:gallery w:val="placeholder"/>
        </w:category>
        <w:types>
          <w:type w:val="bbPlcHdr"/>
        </w:types>
        <w:behaviors>
          <w:behavior w:val="content"/>
        </w:behaviors>
        <w:guid w:val="{162E2D1A-9B10-41F8-AA09-5F04EC08DE71}"/>
      </w:docPartPr>
      <w:docPartBody>
        <w:p w:rsidR="00AA0D9F" w:rsidRDefault="00AA0D9F">
          <w:pPr>
            <w:pStyle w:val="7C573EFC9622459F8DCFBA9072671252"/>
          </w:pPr>
          <w:r>
            <w:rPr>
              <w:rStyle w:val="PlaceholderText"/>
              <w:sz w:val="20"/>
              <w:szCs w:val="18"/>
            </w:rPr>
            <w:t>Tuliskan alamat email di sini</w:t>
          </w:r>
        </w:p>
      </w:docPartBody>
    </w:docPart>
    <w:docPart>
      <w:docPartPr>
        <w:name w:val="D2D63F56E4424C87865E3B2BA607263E"/>
        <w:category>
          <w:name w:val="General"/>
          <w:gallery w:val="placeholder"/>
        </w:category>
        <w:types>
          <w:type w:val="bbPlcHdr"/>
        </w:types>
        <w:behaviors>
          <w:behavior w:val="content"/>
        </w:behaviors>
        <w:guid w:val="{B81C14BC-B017-4BB3-B942-ADEED0B05CAD}"/>
      </w:docPartPr>
      <w:docPartBody>
        <w:p w:rsidR="00AA0D9F" w:rsidRDefault="00AA0D9F">
          <w:pPr>
            <w:pStyle w:val="D2D63F56E4424C87865E3B2BA607263E"/>
          </w:pPr>
          <w:r>
            <w:rPr>
              <w:rStyle w:val="PlaceholderText"/>
            </w:rPr>
            <w:t>Click here to enter a date.</w:t>
          </w:r>
        </w:p>
      </w:docPartBody>
    </w:docPart>
    <w:docPart>
      <w:docPartPr>
        <w:name w:val="D2D2DCFE32124CA29B3F34DC6BCF76BC"/>
        <w:category>
          <w:name w:val="General"/>
          <w:gallery w:val="placeholder"/>
        </w:category>
        <w:types>
          <w:type w:val="bbPlcHdr"/>
        </w:types>
        <w:behaviors>
          <w:behavior w:val="content"/>
        </w:behaviors>
        <w:guid w:val="{CF5FF083-92DE-4788-901F-7D80498F5BB6}"/>
      </w:docPartPr>
      <w:docPartBody>
        <w:p w:rsidR="00AA0D9F" w:rsidRDefault="00AA0D9F">
          <w:pPr>
            <w:pStyle w:val="D2D2DCFE32124CA29B3F34DC6BCF76BC"/>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654A922E8ED94868A353193BEDE2DE3B"/>
        <w:category>
          <w:name w:val="General"/>
          <w:gallery w:val="placeholder"/>
        </w:category>
        <w:types>
          <w:type w:val="bbPlcHdr"/>
        </w:types>
        <w:behaviors>
          <w:behavior w:val="content"/>
        </w:behaviors>
        <w:guid w:val="{B55DFB0E-DC8A-414D-B0E0-10C04F5EA21A}"/>
      </w:docPartPr>
      <w:docPartBody>
        <w:p w:rsidR="00AA0D9F" w:rsidRDefault="00AA0D9F">
          <w:pPr>
            <w:pStyle w:val="654A922E8ED94868A353193BEDE2DE3B"/>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9F"/>
    <w:rsid w:val="001F2063"/>
    <w:rsid w:val="003A7D17"/>
    <w:rsid w:val="00443570"/>
    <w:rsid w:val="004C5198"/>
    <w:rsid w:val="004D73F3"/>
    <w:rsid w:val="005A2684"/>
    <w:rsid w:val="006D3F71"/>
    <w:rsid w:val="006D6B25"/>
    <w:rsid w:val="00765436"/>
    <w:rsid w:val="008645B5"/>
    <w:rsid w:val="00AA0D9F"/>
    <w:rsid w:val="00B23597"/>
    <w:rsid w:val="00E01347"/>
    <w:rsid w:val="00E229DF"/>
    <w:rsid w:val="00F205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1FB74E6FD38142A2A4696B1C4388EF24">
    <w:name w:val="1FB74E6FD38142A2A4696B1C4388EF24"/>
  </w:style>
  <w:style w:type="character" w:styleId="PlaceholderText">
    <w:name w:val="Placeholder Text"/>
    <w:basedOn w:val="DefaultParagraphFont"/>
    <w:uiPriority w:val="99"/>
    <w:qFormat/>
    <w:rsid w:val="006D3F71"/>
    <w:rPr>
      <w:color w:val="808080"/>
    </w:rPr>
  </w:style>
  <w:style w:type="paragraph" w:customStyle="1" w:styleId="82E997A4F31E41B2B98A351F30460FCF">
    <w:name w:val="82E997A4F31E41B2B98A351F30460FCF"/>
  </w:style>
  <w:style w:type="paragraph" w:customStyle="1" w:styleId="AF0A383CCDB546448C7A36101409023D">
    <w:name w:val="AF0A383CCDB546448C7A36101409023D"/>
  </w:style>
  <w:style w:type="paragraph" w:customStyle="1" w:styleId="FF44653BF0934E90A59360328AAFAD50">
    <w:name w:val="FF44653BF0934E90A59360328AAFAD50"/>
  </w:style>
  <w:style w:type="paragraph" w:customStyle="1" w:styleId="743E3290A115473AA83D262F6086E6A7">
    <w:name w:val="743E3290A115473AA83D262F6086E6A7"/>
  </w:style>
  <w:style w:type="paragraph" w:customStyle="1" w:styleId="7C573EFC9622459F8DCFBA9072671252">
    <w:name w:val="7C573EFC9622459F8DCFBA9072671252"/>
  </w:style>
  <w:style w:type="paragraph" w:customStyle="1" w:styleId="D2D63F56E4424C87865E3B2BA607263E">
    <w:name w:val="D2D63F56E4424C87865E3B2BA607263E"/>
  </w:style>
  <w:style w:type="paragraph" w:customStyle="1" w:styleId="D2D2DCFE32124CA29B3F34DC6BCF76BC">
    <w:name w:val="D2D2DCFE32124CA29B3F34DC6BCF76BC"/>
  </w:style>
  <w:style w:type="paragraph" w:customStyle="1" w:styleId="654A922E8ED94868A353193BEDE2DE3B">
    <w:name w:val="654A922E8ED94868A353193BEDE2DE3B"/>
  </w:style>
  <w:style w:type="paragraph" w:customStyle="1" w:styleId="079CB0F47E664C5DABFF971DA8058111">
    <w:name w:val="079CB0F47E664C5DABFF971DA80581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1FB74E6FD38142A2A4696B1C4388EF24">
    <w:name w:val="1FB74E6FD38142A2A4696B1C4388EF24"/>
  </w:style>
  <w:style w:type="character" w:styleId="PlaceholderText">
    <w:name w:val="Placeholder Text"/>
    <w:basedOn w:val="DefaultParagraphFont"/>
    <w:uiPriority w:val="99"/>
    <w:qFormat/>
    <w:rsid w:val="006D3F71"/>
    <w:rPr>
      <w:color w:val="808080"/>
    </w:rPr>
  </w:style>
  <w:style w:type="paragraph" w:customStyle="1" w:styleId="82E997A4F31E41B2B98A351F30460FCF">
    <w:name w:val="82E997A4F31E41B2B98A351F30460FCF"/>
  </w:style>
  <w:style w:type="paragraph" w:customStyle="1" w:styleId="AF0A383CCDB546448C7A36101409023D">
    <w:name w:val="AF0A383CCDB546448C7A36101409023D"/>
  </w:style>
  <w:style w:type="paragraph" w:customStyle="1" w:styleId="FF44653BF0934E90A59360328AAFAD50">
    <w:name w:val="FF44653BF0934E90A59360328AAFAD50"/>
  </w:style>
  <w:style w:type="paragraph" w:customStyle="1" w:styleId="743E3290A115473AA83D262F6086E6A7">
    <w:name w:val="743E3290A115473AA83D262F6086E6A7"/>
  </w:style>
  <w:style w:type="paragraph" w:customStyle="1" w:styleId="7C573EFC9622459F8DCFBA9072671252">
    <w:name w:val="7C573EFC9622459F8DCFBA9072671252"/>
  </w:style>
  <w:style w:type="paragraph" w:customStyle="1" w:styleId="D2D63F56E4424C87865E3B2BA607263E">
    <w:name w:val="D2D63F56E4424C87865E3B2BA607263E"/>
  </w:style>
  <w:style w:type="paragraph" w:customStyle="1" w:styleId="D2D2DCFE32124CA29B3F34DC6BCF76BC">
    <w:name w:val="D2D2DCFE32124CA29B3F34DC6BCF76BC"/>
  </w:style>
  <w:style w:type="paragraph" w:customStyle="1" w:styleId="654A922E8ED94868A353193BEDE2DE3B">
    <w:name w:val="654A922E8ED94868A353193BEDE2DE3B"/>
  </w:style>
  <w:style w:type="paragraph" w:customStyle="1" w:styleId="079CB0F47E664C5DABFF971DA8058111">
    <w:name w:val="079CB0F47E664C5DABFF971DA8058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5257B-998F-426F-9A47-A9CA75E3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paper for A4 page size (21032021)</Template>
  <TotalTime>167</TotalTime>
  <Pages>7</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Adya Mustika Sari</dc:creator>
  <cp:lastModifiedBy>Adya Mustika Sari</cp:lastModifiedBy>
  <cp:revision>53</cp:revision>
  <cp:lastPrinted>2019-07-29T05:58:00Z</cp:lastPrinted>
  <dcterms:created xsi:type="dcterms:W3CDTF">2021-10-25T06:21:00Z</dcterms:created>
  <dcterms:modified xsi:type="dcterms:W3CDTF">2021-10-25T14:28:00Z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y fmtid="{D5CDD505-2E9C-101B-9397-08002B2CF9AE}" pid="3" name="Mendeley Document_1">
    <vt:lpwstr>True</vt:lpwstr>
  </property>
  <property fmtid="{D5CDD505-2E9C-101B-9397-08002B2CF9AE}" pid="4" name="Mendeley Unique User Id_1">
    <vt:lpwstr>2aa17685-3aaa-3345-a6fe-c937b142923e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